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6481BE">
      <w:pPr>
        <w:widowControl w:val="0"/>
        <w:jc w:val="both"/>
        <w:rPr>
          <w:rFonts w:ascii="Times New Roman" w:hAnsi="Times New Roman" w:eastAsia="PT Astra Serif" w:cs="Times New Roman"/>
          <w:color w:val="000000"/>
          <w:sz w:val="24"/>
          <w:szCs w:val="24"/>
          <w:highlight w:val="none"/>
        </w:rPr>
      </w:pPr>
    </w:p>
    <w:p w14:paraId="3934618C">
      <w:pPr>
        <w:widowControl w:val="0"/>
        <w:ind w:left="-15" w:firstLine="567"/>
        <w:jc w:val="center"/>
        <w:rPr>
          <w:rFonts w:ascii="Times New Roman" w:hAnsi="Times New Roman" w:eastAsia="PT Astra Serif" w:cs="Times New Roman"/>
          <w:b/>
          <w:bCs/>
          <w:color w:val="000000"/>
          <w:sz w:val="24"/>
          <w:szCs w:val="24"/>
          <w:highlight w:val="none"/>
        </w:rPr>
      </w:pPr>
      <w:r>
        <w:rPr>
          <w:rFonts w:ascii="Times New Roman" w:hAnsi="Times New Roman" w:eastAsia="PT Astra Serif" w:cs="Times New Roman"/>
          <w:b/>
          <w:bCs/>
          <w:color w:val="000000"/>
          <w:sz w:val="24"/>
          <w:szCs w:val="24"/>
          <w:highlight w:val="none"/>
        </w:rPr>
        <w:t>Муниципальный контракт № ОК-25/005</w:t>
      </w:r>
    </w:p>
    <w:p w14:paraId="126CA40B">
      <w:pPr>
        <w:widowControl w:val="0"/>
        <w:ind w:left="-15" w:firstLine="567"/>
        <w:jc w:val="center"/>
        <w:rPr>
          <w:rFonts w:ascii="Times New Roman" w:hAnsi="Times New Roman" w:eastAsia="PT Astra Serif" w:cs="Times New Roman"/>
          <w:b/>
          <w:bCs/>
          <w:color w:val="000000"/>
          <w:sz w:val="24"/>
          <w:szCs w:val="24"/>
          <w:highlight w:val="none"/>
        </w:rPr>
      </w:pPr>
      <w:r>
        <w:rPr>
          <w:rFonts w:ascii="Times New Roman" w:hAnsi="Times New Roman" w:eastAsia="PT Astra Serif" w:cs="Times New Roman"/>
          <w:b/>
          <w:bCs/>
          <w:color w:val="000000"/>
          <w:sz w:val="24"/>
          <w:szCs w:val="24"/>
          <w:highlight w:val="none"/>
        </w:rPr>
        <w:t>Комплексное территориальное развитие МО ГО "г. Дербент" (СМР -строительство ДОУ № 1 на 140 мест в мкр Южный)</w:t>
      </w:r>
    </w:p>
    <w:p w14:paraId="4A1ADA37">
      <w:pPr>
        <w:widowControl w:val="0"/>
        <w:ind w:left="-15" w:firstLine="567"/>
        <w:jc w:val="center"/>
        <w:rPr>
          <w:rFonts w:ascii="Times New Roman" w:hAnsi="Times New Roman" w:eastAsia="PT Astra Serif" w:cs="Times New Roman"/>
          <w:color w:val="000000"/>
          <w:sz w:val="24"/>
          <w:szCs w:val="24"/>
          <w:highlight w:val="none"/>
        </w:rPr>
      </w:pPr>
    </w:p>
    <w:p w14:paraId="0730E67F">
      <w:pPr>
        <w:widowControl w:val="0"/>
        <w:ind w:left="-15" w:firstLine="567"/>
        <w:jc w:val="both"/>
        <w:rPr>
          <w:rFonts w:ascii="Times New Roman" w:hAnsi="Times New Roman" w:eastAsia="PT Astra Serif" w:cs="Times New Roman"/>
          <w:color w:val="000000"/>
          <w:sz w:val="24"/>
          <w:szCs w:val="24"/>
          <w:highlight w:val="none"/>
        </w:rPr>
      </w:pPr>
      <w:r>
        <w:rPr>
          <w:rFonts w:ascii="Times New Roman" w:hAnsi="Times New Roman" w:eastAsia="PT Astra Serif" w:cs="Times New Roman"/>
          <w:color w:val="000000"/>
          <w:sz w:val="24"/>
          <w:szCs w:val="24"/>
          <w:highlight w:val="none"/>
        </w:rPr>
        <w:t>г. Дербент</w:t>
      </w:r>
      <w:r>
        <w:rPr>
          <w:rFonts w:ascii="Times New Roman" w:hAnsi="Times New Roman" w:eastAsia="PT Astra Serif" w:cs="Times New Roman"/>
          <w:color w:val="000000"/>
          <w:sz w:val="24"/>
          <w:szCs w:val="24"/>
          <w:highlight w:val="none"/>
        </w:rPr>
        <w:tab/>
      </w:r>
      <w:r>
        <w:rPr>
          <w:rFonts w:ascii="Times New Roman" w:hAnsi="Times New Roman" w:eastAsia="PT Astra Serif" w:cs="Times New Roman"/>
          <w:color w:val="000000"/>
          <w:sz w:val="24"/>
          <w:szCs w:val="24"/>
          <w:highlight w:val="none"/>
        </w:rPr>
        <w:t xml:space="preserve">                                                                            </w:t>
      </w:r>
      <w:r>
        <w:rPr>
          <w:rFonts w:hint="default" w:ascii="Times New Roman" w:hAnsi="Times New Roman" w:eastAsia="PT Astra Serif" w:cs="Times New Roman"/>
          <w:color w:val="000000"/>
          <w:sz w:val="24"/>
          <w:szCs w:val="24"/>
          <w:highlight w:val="none"/>
          <w:lang w:val="ru-RU"/>
        </w:rPr>
        <w:t xml:space="preserve">       </w:t>
      </w:r>
      <w:r>
        <w:rPr>
          <w:rFonts w:ascii="Times New Roman" w:hAnsi="Times New Roman" w:eastAsia="PT Astra Serif" w:cs="Times New Roman"/>
          <w:color w:val="000000"/>
          <w:sz w:val="24"/>
          <w:szCs w:val="24"/>
          <w:highlight w:val="none"/>
        </w:rPr>
        <w:t xml:space="preserve">   «</w:t>
      </w:r>
      <w:r>
        <w:rPr>
          <w:rFonts w:hint="default" w:ascii="Times New Roman" w:hAnsi="Times New Roman" w:eastAsia="PT Astra Serif" w:cs="Times New Roman"/>
          <w:color w:val="000000"/>
          <w:sz w:val="24"/>
          <w:szCs w:val="24"/>
          <w:highlight w:val="none"/>
          <w:lang w:val="ru-RU"/>
        </w:rPr>
        <w:t>05</w:t>
      </w:r>
      <w:r>
        <w:rPr>
          <w:rFonts w:ascii="Times New Roman" w:hAnsi="Times New Roman" w:eastAsia="PT Astra Serif" w:cs="Times New Roman"/>
          <w:color w:val="000000"/>
          <w:sz w:val="24"/>
          <w:szCs w:val="24"/>
          <w:highlight w:val="none"/>
        </w:rPr>
        <w:t>»</w:t>
      </w:r>
      <w:r>
        <w:rPr>
          <w:rFonts w:hint="default" w:ascii="Times New Roman" w:hAnsi="Times New Roman" w:eastAsia="PT Astra Serif" w:cs="Times New Roman"/>
          <w:color w:val="000000"/>
          <w:sz w:val="24"/>
          <w:szCs w:val="24"/>
          <w:highlight w:val="none"/>
          <w:lang w:val="ru-RU"/>
        </w:rPr>
        <w:t xml:space="preserve"> мая </w:t>
      </w:r>
      <w:r>
        <w:rPr>
          <w:rFonts w:ascii="Times New Roman" w:hAnsi="Times New Roman" w:eastAsia="PT Astra Serif" w:cs="Times New Roman"/>
          <w:color w:val="000000"/>
          <w:sz w:val="24"/>
          <w:szCs w:val="24"/>
          <w:highlight w:val="none"/>
        </w:rPr>
        <w:t>2025 г.</w:t>
      </w:r>
    </w:p>
    <w:p w14:paraId="045E66C6">
      <w:pPr>
        <w:widowControl w:val="0"/>
        <w:ind w:left="-15" w:firstLine="567"/>
        <w:jc w:val="center"/>
        <w:rPr>
          <w:rFonts w:ascii="Times New Roman" w:hAnsi="Times New Roman" w:eastAsia="PT Astra Serif" w:cs="Times New Roman"/>
          <w:color w:val="000000"/>
          <w:sz w:val="24"/>
          <w:szCs w:val="24"/>
          <w:highlight w:val="none"/>
        </w:rPr>
      </w:pPr>
    </w:p>
    <w:p w14:paraId="4C95C1B0">
      <w:pPr>
        <w:pStyle w:val="37"/>
        <w:jc w:val="both"/>
        <w:rPr>
          <w:rFonts w:eastAsia="PT Astra Serif"/>
          <w:color w:val="000000"/>
          <w:sz w:val="24"/>
          <w:szCs w:val="24"/>
          <w:highlight w:val="none"/>
        </w:rPr>
      </w:pPr>
      <w:r>
        <w:rPr>
          <w:rFonts w:eastAsia="PT Astra Serif"/>
          <w:color w:val="000000"/>
          <w:sz w:val="24"/>
          <w:szCs w:val="24"/>
          <w:highlight w:val="none"/>
        </w:rPr>
        <w:t xml:space="preserve">Муниципальное казённое учреждение «Управление капитального строительства» городского округа «город Дербент», именуемое в дальнейшем «Заказчик», в лице руководителя Сайпудинова Магомеда Абдулаевича, действующего на основании Устава, с одной стороны и  </w:t>
      </w:r>
      <w:r>
        <w:rPr>
          <w:rFonts w:eastAsia="sans-serif"/>
          <w:color w:val="111111"/>
          <w:sz w:val="24"/>
          <w:szCs w:val="24"/>
          <w:highlight w:val="none"/>
          <w:lang w:eastAsia="zh-CN" w:bidi="ar"/>
        </w:rPr>
        <w:t>ОБЩЕСТВО С ОГРАНИЧЕННОЙ ОТВЕТСТВЕННОСТЬЮ "ТОРГОВО-СТРОИТЕЛЬНАЯ КОМПАНИЯ "МЕГАПОЛИС"</w:t>
      </w:r>
      <w:r>
        <w:rPr>
          <w:highlight w:val="none"/>
        </w:rPr>
        <w:fldChar w:fldCharType="begin"/>
      </w:r>
      <w:r>
        <w:rPr>
          <w:highlight w:val="none"/>
        </w:rPr>
        <w:instrText xml:space="preserve"> HYPERLINK "https://checko.ru/company/1120571000703/timeline?type=name" </w:instrText>
      </w:r>
      <w:r>
        <w:rPr>
          <w:highlight w:val="none"/>
        </w:rPr>
        <w:fldChar w:fldCharType="separate"/>
      </w:r>
      <w:r>
        <w:rPr>
          <w:highlight w:val="none"/>
        </w:rPr>
        <w:fldChar w:fldCharType="end"/>
      </w:r>
      <w:r>
        <w:rPr>
          <w:rFonts w:eastAsia="PT Astra Serif"/>
          <w:color w:val="000000"/>
          <w:sz w:val="24"/>
          <w:szCs w:val="24"/>
          <w:highlight w:val="none"/>
        </w:rPr>
        <w:t xml:space="preserve"> , именуемое в дальнейшем «Подрядчик», в лице   генерального директора Хасаева Араби Алиевича, действующего на основании Устава, с другой стороны, именуемые в дальнейшем «Стороны», на основании результатов </w:t>
      </w:r>
      <w:r>
        <w:rPr>
          <w:sz w:val="24"/>
          <w:szCs w:val="24"/>
          <w:highlight w:val="none"/>
        </w:rPr>
        <w:t>подведения итогов определения поставщика (подрядчика, исполнителя)</w:t>
      </w:r>
      <w:r>
        <w:rPr>
          <w:rFonts w:eastAsia="PT Astra Serif"/>
          <w:color w:val="000000"/>
          <w:sz w:val="24"/>
          <w:szCs w:val="24"/>
          <w:highlight w:val="none"/>
        </w:rPr>
        <w:t xml:space="preserve"> (протокол от 21 апреля 2025 года  № </w:t>
      </w:r>
      <w:r>
        <w:rPr>
          <w:highlight w:val="none"/>
        </w:rPr>
        <w:fldChar w:fldCharType="begin"/>
      </w:r>
      <w:r>
        <w:rPr>
          <w:highlight w:val="none"/>
        </w:rPr>
        <w:instrText xml:space="preserve"> HYPERLINK "https://zakupki.gov.ru/epz/order/notice/ok20/view/supplier-results.html?regNumber=0803600031825000023" \t "https://zakupki.gov.ru/epz/order/notice/ok20/view/_blank" </w:instrText>
      </w:r>
      <w:r>
        <w:rPr>
          <w:highlight w:val="none"/>
        </w:rPr>
        <w:fldChar w:fldCharType="separate"/>
      </w:r>
      <w:r>
        <w:rPr>
          <w:rStyle w:val="11"/>
          <w:rFonts w:eastAsia="Roboto"/>
          <w:color w:val="auto"/>
          <w:sz w:val="24"/>
          <w:szCs w:val="24"/>
          <w:highlight w:val="none"/>
          <w:u w:val="none"/>
          <w:shd w:val="clear" w:color="auto" w:fill="FFFFFF"/>
        </w:rPr>
        <w:t>0803600031825000023</w:t>
      </w:r>
      <w:r>
        <w:rPr>
          <w:rStyle w:val="11"/>
          <w:rFonts w:eastAsia="Roboto"/>
          <w:color w:val="auto"/>
          <w:sz w:val="24"/>
          <w:szCs w:val="24"/>
          <w:highlight w:val="none"/>
          <w:u w:val="none"/>
          <w:shd w:val="clear" w:color="auto" w:fill="FFFFFF"/>
        </w:rPr>
        <w:fldChar w:fldCharType="end"/>
      </w:r>
      <w:r>
        <w:rPr>
          <w:rFonts w:eastAsia="PT Astra Serif"/>
          <w:color w:val="000000"/>
          <w:sz w:val="24"/>
          <w:szCs w:val="24"/>
          <w:highlight w:val="none"/>
        </w:rPr>
        <w:t>), заключили настоящий   муниципальный контракт  (далее – Контракт)  о нижеследующем:</w:t>
      </w:r>
    </w:p>
    <w:p w14:paraId="4B774924">
      <w:pPr>
        <w:widowControl w:val="0"/>
        <w:ind w:left="-15" w:firstLine="567"/>
        <w:jc w:val="center"/>
        <w:rPr>
          <w:rFonts w:ascii="Times New Roman" w:hAnsi="Times New Roman" w:eastAsia="PT Astra Serif" w:cs="Times New Roman"/>
          <w:b/>
          <w:color w:val="000000"/>
          <w:sz w:val="24"/>
          <w:szCs w:val="24"/>
          <w:highlight w:val="none"/>
        </w:rPr>
      </w:pPr>
      <w:r>
        <w:rPr>
          <w:rFonts w:ascii="Times New Roman" w:hAnsi="Times New Roman" w:eastAsia="PT Astra Serif" w:cs="Times New Roman"/>
          <w:b/>
          <w:color w:val="000000"/>
          <w:sz w:val="24"/>
          <w:szCs w:val="24"/>
          <w:highlight w:val="none"/>
        </w:rPr>
        <w:t>1. Предмет Контракта.</w:t>
      </w:r>
    </w:p>
    <w:p w14:paraId="5BFBEB5A">
      <w:pPr>
        <w:widowControl w:val="0"/>
        <w:ind w:left="-15" w:firstLine="567"/>
        <w:jc w:val="center"/>
        <w:rPr>
          <w:rFonts w:ascii="Times New Roman" w:hAnsi="Times New Roman" w:eastAsia="PT Astra Serif" w:cs="Times New Roman"/>
          <w:sz w:val="24"/>
          <w:szCs w:val="24"/>
          <w:highlight w:val="none"/>
        </w:rPr>
      </w:pPr>
      <w:r>
        <w:rPr>
          <w:rFonts w:ascii="Times New Roman" w:hAnsi="Times New Roman" w:eastAsia="PT Astra Serif" w:cs="Times New Roman"/>
          <w:sz w:val="24"/>
          <w:szCs w:val="24"/>
          <w:highlight w:val="none"/>
        </w:rPr>
        <w:t xml:space="preserve">1.1. Заказчик поручает, а Подрядчик принимает на себя обязательства по </w:t>
      </w:r>
      <w:r>
        <w:rPr>
          <w:rFonts w:ascii="Times New Roman" w:hAnsi="Times New Roman" w:eastAsia="PT Astra Serif" w:cs="Times New Roman"/>
          <w:color w:val="000000"/>
          <w:sz w:val="24"/>
          <w:szCs w:val="24"/>
          <w:highlight w:val="none"/>
        </w:rPr>
        <w:t xml:space="preserve">Комплексное территориальное развитие МО ГО "г. Дербент" (СМР -строительство ДОУ № 1 на 140 мест в мкр Южный) </w:t>
      </w:r>
      <w:r>
        <w:rPr>
          <w:rFonts w:ascii="Times New Roman" w:hAnsi="Times New Roman" w:eastAsia="PT Astra Serif" w:cs="Times New Roman"/>
          <w:sz w:val="24"/>
          <w:szCs w:val="24"/>
          <w:highlight w:val="none"/>
        </w:rPr>
        <w:t>(далее – Работы, Объект соответственно).</w:t>
      </w:r>
    </w:p>
    <w:p w14:paraId="058C81DC">
      <w:pPr>
        <w:widowControl w:val="0"/>
        <w:ind w:left="-15" w:firstLine="567"/>
        <w:jc w:val="both"/>
        <w:rPr>
          <w:rFonts w:ascii="Times New Roman" w:hAnsi="Times New Roman" w:eastAsia="PT Astra Serif" w:cs="Times New Roman"/>
          <w:sz w:val="24"/>
          <w:szCs w:val="24"/>
          <w:highlight w:val="none"/>
        </w:rPr>
      </w:pPr>
      <w:r>
        <w:rPr>
          <w:rFonts w:ascii="Times New Roman" w:hAnsi="Times New Roman" w:eastAsia="PT Astra Serif" w:cs="Times New Roman"/>
          <w:sz w:val="24"/>
          <w:szCs w:val="24"/>
          <w:highlight w:val="none"/>
        </w:rPr>
        <w:t>1.2. Подрядчик обязуется выполнить собственными и привлеченными силами и средствами все работы по объекту в соответствии с условиями Контракта, с проектной, рабочей и иной технической документацией, определяющей объем, содержание работ и другие, предъявляемые к ним требования, сметной документацией, определяющей цену работ и графиком выполнения работ (приложение №2 к Контракту).</w:t>
      </w:r>
    </w:p>
    <w:p w14:paraId="4A2BCDB3">
      <w:pPr>
        <w:widowControl w:val="0"/>
        <w:ind w:left="-15" w:firstLine="567"/>
        <w:jc w:val="both"/>
        <w:rPr>
          <w:rFonts w:ascii="Times New Roman" w:hAnsi="Times New Roman" w:cs="Times New Roman"/>
          <w:sz w:val="24"/>
          <w:szCs w:val="24"/>
          <w:highlight w:val="none"/>
          <w:shd w:val="clear" w:color="auto" w:fill="FFFFFF"/>
        </w:rPr>
      </w:pPr>
      <w:r>
        <w:rPr>
          <w:rFonts w:ascii="Times New Roman" w:hAnsi="Times New Roman" w:eastAsia="PT Astra Serif" w:cs="Times New Roman"/>
          <w:sz w:val="24"/>
          <w:szCs w:val="24"/>
          <w:highlight w:val="none"/>
        </w:rPr>
        <w:t>1.3. Место выполнения работ: Республика Дагестан, г. Дербент</w:t>
      </w:r>
    </w:p>
    <w:p w14:paraId="30881FA6">
      <w:pPr>
        <w:widowControl w:val="0"/>
        <w:ind w:left="-15" w:firstLine="567"/>
        <w:jc w:val="both"/>
        <w:rPr>
          <w:rFonts w:ascii="Times New Roman" w:hAnsi="Times New Roman" w:eastAsia="PT Astra Serif" w:cs="Times New Roman"/>
          <w:color w:val="000000"/>
          <w:sz w:val="24"/>
          <w:szCs w:val="24"/>
          <w:highlight w:val="none"/>
        </w:rPr>
      </w:pPr>
      <w:r>
        <w:rPr>
          <w:rFonts w:ascii="Times New Roman" w:hAnsi="Times New Roman" w:eastAsia="PT Astra Serif" w:cs="Times New Roman"/>
          <w:sz w:val="24"/>
          <w:szCs w:val="24"/>
          <w:highlight w:val="none"/>
        </w:rPr>
        <w:t xml:space="preserve">1.4. ИКЗ: </w:t>
      </w:r>
      <w:r>
        <w:rPr>
          <w:rFonts w:ascii="Times New Roman" w:hAnsi="Times New Roman" w:eastAsia="Tahoma" w:cs="Times New Roman"/>
          <w:color w:val="383838"/>
          <w:sz w:val="24"/>
          <w:szCs w:val="24"/>
          <w:highlight w:val="none"/>
          <w:shd w:val="clear" w:color="auto" w:fill="FAFAFA"/>
        </w:rPr>
        <w:t>253054201850505420100100080024329414</w:t>
      </w:r>
    </w:p>
    <w:p w14:paraId="0A6F733A">
      <w:pPr>
        <w:widowControl w:val="0"/>
        <w:ind w:left="-15" w:firstLine="567"/>
        <w:jc w:val="center"/>
        <w:rPr>
          <w:rFonts w:ascii="Times New Roman" w:hAnsi="Times New Roman" w:eastAsia="PT Astra Serif" w:cs="Times New Roman"/>
          <w:b/>
          <w:color w:val="000000"/>
          <w:sz w:val="24"/>
          <w:szCs w:val="24"/>
          <w:highlight w:val="none"/>
        </w:rPr>
      </w:pPr>
      <w:r>
        <w:rPr>
          <w:rFonts w:ascii="Times New Roman" w:hAnsi="Times New Roman" w:eastAsia="PT Astra Serif" w:cs="Times New Roman"/>
          <w:b/>
          <w:color w:val="000000"/>
          <w:sz w:val="24"/>
          <w:szCs w:val="24"/>
          <w:highlight w:val="none"/>
        </w:rPr>
        <w:t>2. Цена Контракта (цена работ) и порядок расчетов.</w:t>
      </w:r>
    </w:p>
    <w:p w14:paraId="206E8273">
      <w:pPr>
        <w:widowControl w:val="0"/>
        <w:ind w:left="-15" w:firstLine="567"/>
        <w:jc w:val="both"/>
        <w:rPr>
          <w:rFonts w:ascii="Times New Roman" w:hAnsi="Times New Roman" w:eastAsia="PT Astra Serif" w:cs="Times New Roman"/>
          <w:color w:val="000000"/>
          <w:sz w:val="24"/>
          <w:szCs w:val="24"/>
          <w:highlight w:val="none"/>
        </w:rPr>
      </w:pPr>
      <w:r>
        <w:rPr>
          <w:rFonts w:ascii="Times New Roman" w:hAnsi="Times New Roman" w:eastAsia="PT Astra Serif" w:cs="Times New Roman"/>
          <w:color w:val="000000"/>
          <w:sz w:val="24"/>
          <w:szCs w:val="24"/>
          <w:highlight w:val="none"/>
        </w:rPr>
        <w:t xml:space="preserve">2.1. Цена контракта является твердой, определена на весь срок исполнения Контракта и составляет: </w:t>
      </w:r>
      <w:r>
        <w:rPr>
          <w:rFonts w:ascii="Times New Roman" w:hAnsi="Times New Roman" w:eastAsia="Roboto" w:cs="Times New Roman"/>
          <w:sz w:val="24"/>
          <w:szCs w:val="24"/>
          <w:highlight w:val="none"/>
          <w:shd w:val="clear" w:color="auto" w:fill="FFFFFF"/>
        </w:rPr>
        <w:t>315 254 080 (триста пятнадцать миллионов двести пятьдесят четыре тысячи восемьдесят)</w:t>
      </w:r>
      <w:r>
        <w:rPr>
          <w:rFonts w:ascii="Times New Roman" w:hAnsi="Times New Roman" w:eastAsia="Roboto" w:cs="Times New Roman"/>
          <w:color w:val="334059"/>
          <w:sz w:val="24"/>
          <w:szCs w:val="24"/>
          <w:highlight w:val="none"/>
          <w:shd w:val="clear" w:color="auto" w:fill="FFFFFF"/>
        </w:rPr>
        <w:t xml:space="preserve"> </w:t>
      </w:r>
      <w:r>
        <w:rPr>
          <w:rFonts w:ascii="Times New Roman" w:hAnsi="Times New Roman" w:eastAsia="PT Astra Serif" w:cs="Times New Roman"/>
          <w:color w:val="000000"/>
          <w:sz w:val="24"/>
          <w:szCs w:val="24"/>
          <w:highlight w:val="none"/>
        </w:rPr>
        <w:t>рублей 00 копеек., в том числе налог на добавленную стоимость (далее - НДС) по налоговой ставке 20 процентов, в размере 52 542 346 (пятьдесят два миллиона пятьсот сорок две тысячи триста сорок шесть) рублей  67 копеек.</w:t>
      </w:r>
    </w:p>
    <w:p w14:paraId="31E2A1E7">
      <w:pPr>
        <w:widowControl w:val="0"/>
        <w:ind w:left="-15" w:firstLine="567"/>
        <w:jc w:val="both"/>
        <w:rPr>
          <w:rFonts w:ascii="Times New Roman" w:hAnsi="Times New Roman" w:eastAsia="PT Astra Serif" w:cs="Times New Roman"/>
          <w:color w:val="000000"/>
          <w:sz w:val="24"/>
          <w:szCs w:val="24"/>
          <w:highlight w:val="none"/>
        </w:rPr>
      </w:pPr>
      <w:r>
        <w:rPr>
          <w:rFonts w:ascii="Times New Roman" w:hAnsi="Times New Roman" w:eastAsia="PT Astra Serif" w:cs="Times New Roman"/>
          <w:color w:val="000000"/>
          <w:sz w:val="24"/>
          <w:szCs w:val="24"/>
          <w:highlight w:val="none"/>
        </w:rPr>
        <w:t>Средством платежа является российский рубль.</w:t>
      </w:r>
    </w:p>
    <w:p w14:paraId="32422554">
      <w:pPr>
        <w:widowControl w:val="0"/>
        <w:ind w:left="-15" w:firstLine="567"/>
        <w:jc w:val="both"/>
        <w:rPr>
          <w:rFonts w:ascii="Times New Roman" w:hAnsi="Times New Roman" w:eastAsia="Verdana" w:cs="Times New Roman"/>
          <w:color w:val="FF0000"/>
          <w:sz w:val="24"/>
          <w:szCs w:val="24"/>
          <w:highlight w:val="none"/>
        </w:rPr>
      </w:pPr>
      <w:r>
        <w:rPr>
          <w:rFonts w:ascii="Times New Roman" w:hAnsi="Times New Roman" w:eastAsia="PT Astra Serif" w:cs="Times New Roman"/>
          <w:color w:val="000000"/>
          <w:sz w:val="24"/>
          <w:szCs w:val="24"/>
          <w:highlight w:val="none"/>
        </w:rPr>
        <w:t>2.2. Цена Контракта определена сметой контракта (Приложении №4 к Контракту).</w:t>
      </w:r>
    </w:p>
    <w:p w14:paraId="099405EA">
      <w:pPr>
        <w:widowControl w:val="0"/>
        <w:tabs>
          <w:tab w:val="left" w:pos="4560"/>
        </w:tabs>
        <w:ind w:firstLine="567"/>
        <w:jc w:val="both"/>
        <w:rPr>
          <w:rFonts w:ascii="Times New Roman" w:hAnsi="Times New Roman" w:eastAsia="PT Astra Serif" w:cs="Times New Roman"/>
          <w:color w:val="000000"/>
          <w:sz w:val="24"/>
          <w:szCs w:val="24"/>
          <w:highlight w:val="none"/>
        </w:rPr>
      </w:pPr>
      <w:r>
        <w:rPr>
          <w:rFonts w:ascii="Times New Roman" w:hAnsi="Times New Roman" w:eastAsia="PT Astra Serif" w:cs="Times New Roman"/>
          <w:color w:val="000000"/>
          <w:sz w:val="24"/>
          <w:szCs w:val="24"/>
          <w:highlight w:val="none"/>
        </w:rPr>
        <w:t>Источник финансирования: Бюджет муниципального образования «городской округ «город Дербент» (казенные учреждения и органы власти Федеральные и Республиканские средства):</w:t>
      </w:r>
    </w:p>
    <w:p w14:paraId="5DBBC3BC">
      <w:pPr>
        <w:widowControl w:val="0"/>
        <w:tabs>
          <w:tab w:val="left" w:pos="4560"/>
        </w:tabs>
        <w:ind w:firstLine="567"/>
        <w:jc w:val="both"/>
        <w:rPr>
          <w:rFonts w:ascii="Times New Roman" w:hAnsi="Times New Roman" w:eastAsia="PT Astra Serif" w:cs="Times New Roman"/>
          <w:sz w:val="24"/>
          <w:szCs w:val="24"/>
          <w:highlight w:val="none"/>
        </w:rPr>
      </w:pPr>
      <w:r>
        <w:rPr>
          <w:rFonts w:ascii="Times New Roman" w:hAnsi="Times New Roman" w:eastAsia="PT Astra Serif" w:cs="Times New Roman"/>
          <w:color w:val="000000"/>
          <w:sz w:val="24"/>
          <w:szCs w:val="24"/>
          <w:highlight w:val="none"/>
        </w:rPr>
        <w:t xml:space="preserve">на 2025 год – </w:t>
      </w:r>
      <w:r>
        <w:rPr>
          <w:rFonts w:ascii="Times New Roman" w:hAnsi="Times New Roman" w:eastAsia="Tahoma" w:cs="Times New Roman"/>
          <w:sz w:val="24"/>
          <w:szCs w:val="24"/>
          <w:highlight w:val="none"/>
          <w:shd w:val="clear" w:color="auto" w:fill="FFFFFF"/>
        </w:rPr>
        <w:t>88 438 640.00</w:t>
      </w:r>
    </w:p>
    <w:p w14:paraId="5D285847">
      <w:pPr>
        <w:widowControl w:val="0"/>
        <w:tabs>
          <w:tab w:val="left" w:pos="4560"/>
        </w:tabs>
        <w:ind w:firstLine="567"/>
        <w:jc w:val="both"/>
        <w:rPr>
          <w:rFonts w:ascii="Times New Roman" w:hAnsi="Times New Roman" w:eastAsia="PT Astra Serif" w:cs="Times New Roman"/>
          <w:sz w:val="24"/>
          <w:szCs w:val="24"/>
          <w:highlight w:val="none"/>
        </w:rPr>
      </w:pPr>
      <w:r>
        <w:rPr>
          <w:rFonts w:ascii="Times New Roman" w:hAnsi="Times New Roman" w:eastAsia="PT Astra Serif" w:cs="Times New Roman"/>
          <w:sz w:val="24"/>
          <w:szCs w:val="24"/>
          <w:highlight w:val="none"/>
        </w:rPr>
        <w:t xml:space="preserve">на 2026 год – </w:t>
      </w:r>
      <w:r>
        <w:rPr>
          <w:rFonts w:ascii="Times New Roman" w:hAnsi="Times New Roman" w:eastAsia="Tahoma" w:cs="Times New Roman"/>
          <w:sz w:val="24"/>
          <w:szCs w:val="24"/>
          <w:highlight w:val="none"/>
          <w:shd w:val="clear" w:color="auto" w:fill="FFFFFF"/>
        </w:rPr>
        <w:t>139 027 190.00</w:t>
      </w:r>
    </w:p>
    <w:p w14:paraId="4EE6BF2D">
      <w:pPr>
        <w:widowControl w:val="0"/>
        <w:tabs>
          <w:tab w:val="left" w:pos="4560"/>
        </w:tabs>
        <w:ind w:firstLine="567"/>
        <w:jc w:val="both"/>
        <w:rPr>
          <w:rFonts w:ascii="Times New Roman" w:hAnsi="Times New Roman" w:eastAsia="PT Astra Serif" w:cs="Times New Roman"/>
          <w:sz w:val="24"/>
          <w:szCs w:val="24"/>
          <w:highlight w:val="none"/>
        </w:rPr>
      </w:pPr>
      <w:r>
        <w:rPr>
          <w:rFonts w:ascii="Times New Roman" w:hAnsi="Times New Roman" w:eastAsia="PT Astra Serif" w:cs="Times New Roman"/>
          <w:sz w:val="24"/>
          <w:szCs w:val="24"/>
          <w:highlight w:val="none"/>
        </w:rPr>
        <w:t xml:space="preserve">на 2027 год – </w:t>
      </w:r>
      <w:r>
        <w:rPr>
          <w:rFonts w:ascii="Times New Roman" w:hAnsi="Times New Roman" w:eastAsia="Tahoma" w:cs="Times New Roman"/>
          <w:sz w:val="24"/>
          <w:szCs w:val="24"/>
          <w:highlight w:val="none"/>
          <w:shd w:val="clear" w:color="auto" w:fill="FFFFFF"/>
        </w:rPr>
        <w:t>87 788 250.00</w:t>
      </w:r>
    </w:p>
    <w:p w14:paraId="57CC0368">
      <w:pPr>
        <w:widowControl w:val="0"/>
        <w:tabs>
          <w:tab w:val="left" w:pos="4560"/>
        </w:tabs>
        <w:ind w:firstLine="567"/>
        <w:jc w:val="both"/>
        <w:rPr>
          <w:rFonts w:ascii="Times New Roman" w:hAnsi="Times New Roman" w:eastAsia="SimSun" w:cs="Times New Roman"/>
          <w:color w:val="000000"/>
          <w:sz w:val="24"/>
          <w:szCs w:val="24"/>
          <w:highlight w:val="none"/>
        </w:rPr>
      </w:pPr>
      <w:r>
        <w:rPr>
          <w:rFonts w:ascii="Times New Roman" w:hAnsi="Times New Roman" w:eastAsia="PT Astra Serif" w:cs="Times New Roman"/>
          <w:color w:val="000000"/>
          <w:sz w:val="24"/>
          <w:szCs w:val="24"/>
          <w:highlight w:val="none"/>
        </w:rPr>
        <w:t xml:space="preserve">КБК: </w:t>
      </w:r>
      <w:r>
        <w:rPr>
          <w:rFonts w:ascii="Times New Roman" w:hAnsi="Times New Roman" w:eastAsia="SimSun" w:cs="Times New Roman"/>
          <w:color w:val="000000"/>
          <w:sz w:val="24"/>
          <w:szCs w:val="24"/>
          <w:highlight w:val="none"/>
        </w:rPr>
        <w:t>0050701491Я1Д054R414</w:t>
      </w:r>
    </w:p>
    <w:p w14:paraId="672E78F3">
      <w:pPr>
        <w:widowControl w:val="0"/>
        <w:tabs>
          <w:tab w:val="left" w:pos="4560"/>
        </w:tabs>
        <w:ind w:firstLine="1152" w:firstLineChars="480"/>
        <w:jc w:val="both"/>
        <w:rPr>
          <w:rFonts w:ascii="Times New Roman" w:hAnsi="Times New Roman" w:eastAsia="SimSun" w:cs="Times New Roman"/>
          <w:color w:val="000000"/>
          <w:sz w:val="24"/>
          <w:szCs w:val="24"/>
          <w:highlight w:val="none"/>
        </w:rPr>
      </w:pPr>
      <w:r>
        <w:rPr>
          <w:rFonts w:ascii="Times New Roman" w:hAnsi="Times New Roman" w:eastAsia="SimSun" w:cs="Times New Roman"/>
          <w:color w:val="000000"/>
          <w:sz w:val="24"/>
          <w:szCs w:val="24"/>
          <w:highlight w:val="none"/>
        </w:rPr>
        <w:t>0050701491Я15054R414</w:t>
      </w:r>
    </w:p>
    <w:p w14:paraId="40375256">
      <w:pPr>
        <w:ind w:left="-15" w:firstLine="582"/>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Сумма, подлежащая уплате Заказчиком Подрядчику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5A214C27">
      <w:pPr>
        <w:ind w:left="-15" w:firstLine="582"/>
        <w:jc w:val="both"/>
        <w:rPr>
          <w:rFonts w:ascii="Times New Roman" w:hAnsi="Times New Roman" w:eastAsia="Verdana"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 xml:space="preserve">2.2. Цена Контракта определена сметой контракта (сметной документацией), приведенной в Приложении №4 к Контракту и составляет: </w:t>
      </w:r>
      <w:r>
        <w:rPr>
          <w:rFonts w:ascii="Times New Roman" w:hAnsi="Times New Roman" w:eastAsia="Roboto" w:cs="Times New Roman"/>
          <w:sz w:val="24"/>
          <w:szCs w:val="24"/>
          <w:highlight w:val="none"/>
          <w:shd w:val="clear" w:color="auto" w:fill="FFFFFF"/>
        </w:rPr>
        <w:t>315 254 080 (триста пятнадцать миллионов двести пятьдесят четыре тысячи восемьдесят)</w:t>
      </w:r>
      <w:r>
        <w:rPr>
          <w:rFonts w:ascii="Times New Roman" w:hAnsi="Times New Roman" w:eastAsia="Roboto" w:cs="Times New Roman"/>
          <w:color w:val="334059"/>
          <w:sz w:val="24"/>
          <w:szCs w:val="24"/>
          <w:highlight w:val="none"/>
          <w:shd w:val="clear" w:color="auto" w:fill="FFFFFF"/>
        </w:rPr>
        <w:t xml:space="preserve"> </w:t>
      </w:r>
      <w:r>
        <w:rPr>
          <w:rFonts w:ascii="Times New Roman" w:hAnsi="Times New Roman" w:eastAsia="PT Astra Serif" w:cs="Times New Roman"/>
          <w:color w:val="000000"/>
          <w:sz w:val="24"/>
          <w:szCs w:val="24"/>
          <w:highlight w:val="none"/>
        </w:rPr>
        <w:t>рублей 00 копеек.</w:t>
      </w:r>
    </w:p>
    <w:p w14:paraId="26156F11">
      <w:pPr>
        <w:widowControl w:val="0"/>
        <w:ind w:left="-15"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 xml:space="preserve">В цену Контракта включены причитающееся Подрядчику вознаграждение и компенсация издержек Подрядчика, в том числе цена Контракта включает следующие расходы Подрядчика: Собственно стоимость работ, соответствующих условиям Контракта по качеству и объему; стоимость расходных и иных материалов, необходимых для выполнения работ; затраты на привязку и разбивку объекта с выносом осей в натуру, вынос реперов на территорию строительной площадки; гарантийные обязательства; все подлежащие в связи с выполнением работ к уплате налоги (в том числе налог на добавленную стоимость), сборы и другие обязательные платежи; стоимость понесенных Подрядчиком затрат по эксплуатации площадки для выполнения работ (в том числе коммунальные платежи, обслуживание, охрана, пожарная безопасность и др.), а также другие затраты, в том числе сезонного характера, необходимые для функционирования площадки и используемого оборудования до сдачи Объекта заказчику в установленном порядке; иные расходы Подрядчика, необходимые для исполнения условий контракта и выполнения работ в полном объеме и надлежащего качества. </w:t>
      </w:r>
    </w:p>
    <w:p w14:paraId="32529D5D">
      <w:pPr>
        <w:widowControl w:val="0"/>
        <w:ind w:left="-15"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 xml:space="preserve">2.3. Оплата по Контракту производится в следующем порядке: </w:t>
      </w:r>
    </w:p>
    <w:p w14:paraId="104553FA">
      <w:pPr>
        <w:tabs>
          <w:tab w:val="left" w:pos="1418"/>
        </w:tabs>
        <w:ind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2.3.1. Авансовый платеж: в размере 28,05 % от цены контракта, указанной в пункте 2.1. настоящего Контракта.</w:t>
      </w:r>
    </w:p>
    <w:p w14:paraId="3441262D">
      <w:pPr>
        <w:widowControl w:val="0"/>
        <w:ind w:left="-15"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Авансирование предусмотрено в размере 28,05% от цены контракта, указанной в п. 2.1 Контракта.</w:t>
      </w:r>
      <w:r>
        <w:rPr>
          <w:rFonts w:ascii="Times New Roman" w:hAnsi="Times New Roman" w:cs="Times New Roman"/>
          <w:sz w:val="24"/>
          <w:szCs w:val="24"/>
          <w:highlight w:val="none"/>
        </w:rPr>
        <w:t xml:space="preserve"> </w:t>
      </w:r>
    </w:p>
    <w:p w14:paraId="1B14A74C">
      <w:pPr>
        <w:widowControl w:val="0"/>
        <w:ind w:left="-15"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Заказчик производит выплату аванса на открытый Подрядчиком в территориальном органе Федерального казначейства лицевой счет для учета операций со средствами юридического лица, не являющегося участником бюджетного процесса, в размере  от Цены договора, указанной в пункте 2.1 Договора,  в течение  7 (семи) рабочих дней со дня выставления Подрядчиком счета на перечисление аванса, но не ранее включения сведений о договоре в реестр контрактов Единой информационной системы, а также открытия Подрядчиком счета и не более лимитов бюджетных обязательств, доведенных до получателя средств федерального бюджета на указанные цели на соответствующий финансовый год, а в случае недостаточности лимитов бюджетных обязательств для выплаты авансового платежа в текущем финансовом году часть такого авансового платежа в оставшемся размере выплачивается не позднее 1 февраля очередного финансового года без подтверждения выполнения работ в объеме ранее выплаченного авансового платежа.</w:t>
      </w:r>
    </w:p>
    <w:p w14:paraId="569592DD">
      <w:pPr>
        <w:widowControl w:val="0"/>
        <w:ind w:left="-15"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Аванс перечисляется на расчётный счёт Подрядчика, указанный в разделе 15 настоящего Контракта, на основании выставленного Подрядчиком счёта на выплату аванса, в течение 7 (семи) рабочих дней.</w:t>
      </w:r>
    </w:p>
    <w:p w14:paraId="3B0CFA32">
      <w:pPr>
        <w:widowControl w:val="0"/>
        <w:ind w:left="-15"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 xml:space="preserve">Аванс погашается Подрядчиком в размере стоимости выполненных работ согласно справки о стоимости выполненных работ и затрат (форма КС-3) и актов о приёмке выполненных работ (форма КС-2), подписанных Заказчиком и Подрядчиком, и оформленных согласно смете контракта (сметной документации). </w:t>
      </w:r>
    </w:p>
    <w:p w14:paraId="377A898E">
      <w:pPr>
        <w:tabs>
          <w:tab w:val="left" w:pos="1418"/>
        </w:tabs>
        <w:ind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2.3.2. Оплата за выполненные работы осуществляется Заказчиком в следующем порядке:</w:t>
      </w:r>
    </w:p>
    <w:p w14:paraId="4042056E">
      <w:pPr>
        <w:widowControl w:val="0"/>
        <w:ind w:left="-15"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Сведения о финансовом обеспечении закупки:</w:t>
      </w:r>
    </w:p>
    <w:p w14:paraId="3BCF00B9">
      <w:pPr>
        <w:ind w:left="-15" w:firstLine="582"/>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SimSun" w:cs="Times New Roman"/>
          <w:color w:val="000000"/>
          <w:sz w:val="27"/>
          <w:szCs w:val="27"/>
          <w:highlight w:val="none"/>
        </w:rPr>
        <w:t>315 254 080 рублей 00 копеек</w:t>
      </w:r>
      <w:r>
        <w:rPr>
          <w:rFonts w:ascii="Times New Roman" w:hAnsi="Times New Roman" w:eastAsia="PT Astra Serif" w:cs="Times New Roman"/>
          <w:color w:val="000000" w:themeColor="text1"/>
          <w:sz w:val="24"/>
          <w:szCs w:val="24"/>
          <w:highlight w:val="none"/>
          <w14:textFill>
            <w14:solidFill>
              <w14:schemeClr w14:val="tx1"/>
            </w14:solidFill>
          </w14:textFill>
        </w:rPr>
        <w:t xml:space="preserve">, из них: </w:t>
      </w:r>
    </w:p>
    <w:p w14:paraId="53EC7064">
      <w:pPr>
        <w:widowControl w:val="0"/>
        <w:tabs>
          <w:tab w:val="left" w:pos="4560"/>
        </w:tabs>
        <w:ind w:firstLine="567"/>
        <w:jc w:val="both"/>
        <w:rPr>
          <w:rFonts w:ascii="Times New Roman" w:hAnsi="Times New Roman" w:eastAsia="PT Astra Serif" w:cs="Times New Roman"/>
          <w:sz w:val="24"/>
          <w:szCs w:val="24"/>
          <w:highlight w:val="none"/>
        </w:rPr>
      </w:pPr>
      <w:r>
        <w:rPr>
          <w:rFonts w:ascii="Times New Roman" w:hAnsi="Times New Roman" w:eastAsia="PT Astra Serif" w:cs="Times New Roman"/>
          <w:color w:val="000000"/>
          <w:sz w:val="24"/>
          <w:szCs w:val="24"/>
          <w:highlight w:val="none"/>
        </w:rPr>
        <w:t xml:space="preserve">на 2025 год – </w:t>
      </w:r>
      <w:r>
        <w:rPr>
          <w:rFonts w:ascii="Times New Roman" w:hAnsi="Times New Roman" w:eastAsia="Tahoma" w:cs="Times New Roman"/>
          <w:sz w:val="24"/>
          <w:szCs w:val="24"/>
          <w:highlight w:val="none"/>
          <w:shd w:val="clear" w:color="auto" w:fill="FFFFFF"/>
        </w:rPr>
        <w:t>88 438 640.00</w:t>
      </w:r>
    </w:p>
    <w:p w14:paraId="0FC1A800">
      <w:pPr>
        <w:widowControl w:val="0"/>
        <w:tabs>
          <w:tab w:val="left" w:pos="4560"/>
        </w:tabs>
        <w:ind w:firstLine="567"/>
        <w:jc w:val="both"/>
        <w:rPr>
          <w:rFonts w:ascii="Times New Roman" w:hAnsi="Times New Roman" w:eastAsia="PT Astra Serif" w:cs="Times New Roman"/>
          <w:sz w:val="24"/>
          <w:szCs w:val="24"/>
          <w:highlight w:val="none"/>
        </w:rPr>
      </w:pPr>
      <w:r>
        <w:rPr>
          <w:rFonts w:ascii="Times New Roman" w:hAnsi="Times New Roman" w:eastAsia="PT Astra Serif" w:cs="Times New Roman"/>
          <w:sz w:val="24"/>
          <w:szCs w:val="24"/>
          <w:highlight w:val="none"/>
        </w:rPr>
        <w:t xml:space="preserve">на 2026 год – </w:t>
      </w:r>
      <w:r>
        <w:rPr>
          <w:rFonts w:ascii="Times New Roman" w:hAnsi="Times New Roman" w:eastAsia="Tahoma" w:cs="Times New Roman"/>
          <w:sz w:val="24"/>
          <w:szCs w:val="24"/>
          <w:highlight w:val="none"/>
          <w:shd w:val="clear" w:color="auto" w:fill="FFFFFF"/>
        </w:rPr>
        <w:t>139 027 190.00</w:t>
      </w:r>
    </w:p>
    <w:p w14:paraId="4688A9F5">
      <w:pPr>
        <w:widowControl w:val="0"/>
        <w:tabs>
          <w:tab w:val="left" w:pos="4560"/>
        </w:tabs>
        <w:ind w:firstLine="567"/>
        <w:jc w:val="both"/>
        <w:rPr>
          <w:rFonts w:ascii="Times New Roman" w:hAnsi="Times New Roman" w:eastAsia="PT Astra Serif" w:cs="Times New Roman"/>
          <w:sz w:val="24"/>
          <w:szCs w:val="24"/>
          <w:highlight w:val="none"/>
        </w:rPr>
      </w:pPr>
      <w:r>
        <w:rPr>
          <w:rFonts w:ascii="Times New Roman" w:hAnsi="Times New Roman" w:eastAsia="PT Astra Serif" w:cs="Times New Roman"/>
          <w:sz w:val="24"/>
          <w:szCs w:val="24"/>
          <w:highlight w:val="none"/>
        </w:rPr>
        <w:t xml:space="preserve">на 2027 год – </w:t>
      </w:r>
      <w:r>
        <w:rPr>
          <w:rFonts w:ascii="Times New Roman" w:hAnsi="Times New Roman" w:eastAsia="Tahoma" w:cs="Times New Roman"/>
          <w:sz w:val="24"/>
          <w:szCs w:val="24"/>
          <w:highlight w:val="none"/>
          <w:shd w:val="clear" w:color="auto" w:fill="FFFFFF"/>
        </w:rPr>
        <w:t>87 788 250.00</w:t>
      </w:r>
    </w:p>
    <w:p w14:paraId="7151A04B">
      <w:pPr>
        <w:ind w:left="-15" w:firstLine="540"/>
        <w:jc w:val="both"/>
        <w:rPr>
          <w:rFonts w:ascii="Times New Roman" w:hAnsi="Times New Roman" w:eastAsia="PT Astra Serif" w:cs="Times New Roman"/>
          <w:sz w:val="24"/>
          <w:szCs w:val="24"/>
          <w:highlight w:val="none"/>
        </w:rPr>
      </w:pPr>
      <w:r>
        <w:rPr>
          <w:rFonts w:ascii="Times New Roman" w:hAnsi="Times New Roman" w:eastAsia="PT Astra Serif" w:cs="Times New Roman"/>
          <w:color w:val="000000" w:themeColor="text1"/>
          <w:sz w:val="24"/>
          <w:szCs w:val="24"/>
          <w:highlight w:val="none"/>
          <w14:textFill>
            <w14:solidFill>
              <w14:schemeClr w14:val="tx1"/>
            </w14:solidFill>
          </w14:textFill>
        </w:rPr>
        <w:t xml:space="preserve">2.4. Первичным учетным документом, являющимся основанием для оплаты работ, выполненных в соответствии с графиком выполнения строительно-монтажных работ и (или) графиком оплаты выполненных работ, по завершении выполнения соответствующих конструктивных </w:t>
      </w:r>
      <w:r>
        <w:rPr>
          <w:rFonts w:ascii="Times New Roman" w:hAnsi="Times New Roman" w:eastAsia="PT Astra Serif" w:cs="Times New Roman"/>
          <w:sz w:val="24"/>
          <w:szCs w:val="24"/>
          <w:highlight w:val="none"/>
        </w:rPr>
        <w:t>решений (элементов), комплексов (видов) работ, в том числе работ, выполняемых поэтапно, является акт о приемке выполненных работ, оформленный и подписанный в установленном контрактом порядке.</w:t>
      </w:r>
    </w:p>
    <w:p w14:paraId="5CF49A98">
      <w:pPr>
        <w:ind w:left="-15" w:firstLine="540"/>
        <w:jc w:val="both"/>
        <w:rPr>
          <w:rFonts w:ascii="Times New Roman" w:hAnsi="Times New Roman" w:eastAsia="PT Astra Serif" w:cs="Times New Roman"/>
          <w:sz w:val="24"/>
          <w:szCs w:val="24"/>
          <w:highlight w:val="none"/>
        </w:rPr>
      </w:pPr>
      <w:r>
        <w:rPr>
          <w:rFonts w:ascii="Times New Roman" w:hAnsi="Times New Roman" w:eastAsia="PT Astra Serif" w:cs="Times New Roman"/>
          <w:sz w:val="24"/>
          <w:szCs w:val="24"/>
          <w:highlight w:val="none"/>
        </w:rPr>
        <w:t>Акт о приёмке выполненных работ подписывается на основании актов о приемке выполненных работ по форме КС-2, справки о стоимости выполненных работ по форме КС-3.</w:t>
      </w:r>
    </w:p>
    <w:p w14:paraId="15A5EF98">
      <w:pPr>
        <w:widowControl w:val="0"/>
        <w:ind w:left="-15" w:firstLine="567"/>
        <w:jc w:val="both"/>
        <w:rPr>
          <w:rFonts w:ascii="Times New Roman" w:hAnsi="Times New Roman" w:cs="Times New Roman"/>
          <w:sz w:val="24"/>
          <w:szCs w:val="24"/>
          <w:highlight w:val="none"/>
          <w:shd w:val="clear" w:color="auto" w:fill="FFFFFF"/>
          <w:vertAlign w:val="superscript"/>
        </w:rPr>
      </w:pPr>
      <w:r>
        <w:rPr>
          <w:rFonts w:ascii="Times New Roman" w:hAnsi="Times New Roman" w:eastAsia="PT Astra Serif" w:cs="Times New Roman"/>
          <w:sz w:val="24"/>
          <w:szCs w:val="24"/>
          <w:highlight w:val="none"/>
        </w:rPr>
        <w:t xml:space="preserve">2.5. </w:t>
      </w:r>
      <w:r>
        <w:rPr>
          <w:rFonts w:ascii="Times New Roman" w:hAnsi="Times New Roman" w:cs="Times New Roman"/>
          <w:sz w:val="24"/>
          <w:szCs w:val="24"/>
          <w:highlight w:val="none"/>
          <w:shd w:val="clear" w:color="auto" w:fill="FFFFFF"/>
        </w:rPr>
        <w:t> При приемке выполненных работ не осуществляется сопоставление технологии производства фактически выполненных работ технологиям, принятым при разработке сметных нормативов, а также не выделяется стоимость учтенных в цене конструктивных решений (элементов) и (или) комплексов (видов) работ сметы контракта, прочих работ и затрат (в том числе зимнее удорожание, осуществление работ вахтовым методом, командирование рабочих, перебазирование строительно-монтажных организаций) и затрат на строительство титульных временных зданий и сооружений, непредвиденных работ и затрат подрядчика. Также при приемке выполненных работ не требуется обоснование размера понесенных подрядчиком расходов на выполнение указанных работ и затрат, учтенных и не подлежащих выделению в цене конструктивных решений (элементов) и (или) комплексов (видов) работ сметы контракта</w:t>
      </w:r>
      <w:r>
        <w:rPr>
          <w:rFonts w:ascii="Times New Roman" w:hAnsi="Times New Roman" w:cs="Times New Roman"/>
          <w:sz w:val="24"/>
          <w:szCs w:val="24"/>
          <w:highlight w:val="none"/>
          <w:shd w:val="clear" w:color="auto" w:fill="FFFFFF"/>
          <w:vertAlign w:val="superscript"/>
        </w:rPr>
        <w:t>.</w:t>
      </w:r>
    </w:p>
    <w:p w14:paraId="69274BFD">
      <w:pPr>
        <w:widowControl w:val="0"/>
        <w:ind w:left="-15" w:firstLine="567"/>
        <w:jc w:val="both"/>
        <w:rPr>
          <w:rFonts w:ascii="Times New Roman" w:hAnsi="Times New Roman" w:eastAsia="PT Astra Serif" w:cs="Times New Roman"/>
          <w:sz w:val="24"/>
          <w:szCs w:val="24"/>
          <w:highlight w:val="none"/>
        </w:rPr>
      </w:pPr>
      <w:r>
        <w:rPr>
          <w:rFonts w:ascii="Times New Roman" w:hAnsi="Times New Roman" w:eastAsia="PT Astra Serif" w:cs="Times New Roman"/>
          <w:sz w:val="24"/>
          <w:szCs w:val="24"/>
          <w:highlight w:val="none"/>
        </w:rPr>
        <w:t>2.6. Стоимость выполненных, принятых заказчиком и подлежащих оплате работ определяется суммированием соответствующих показателей по конструктивным решениям (элементам) и (или) комплексам (видам) работ, в том числе работ, выполненных поэтапно.</w:t>
      </w:r>
    </w:p>
    <w:p w14:paraId="55E229DB">
      <w:pPr>
        <w:ind w:left="-15" w:firstLine="540"/>
        <w:jc w:val="both"/>
        <w:rPr>
          <w:rFonts w:ascii="Times New Roman" w:hAnsi="Times New Roman" w:eastAsia="PT Astra Serif" w:cs="Times New Roman"/>
          <w:sz w:val="24"/>
          <w:szCs w:val="24"/>
          <w:highlight w:val="none"/>
        </w:rPr>
      </w:pPr>
      <w:r>
        <w:rPr>
          <w:rFonts w:ascii="Times New Roman" w:hAnsi="Times New Roman" w:eastAsia="PT Astra Serif" w:cs="Times New Roman"/>
          <w:sz w:val="24"/>
          <w:szCs w:val="24"/>
          <w:highlight w:val="none"/>
        </w:rPr>
        <w:t>2.7.</w:t>
      </w:r>
      <w:r>
        <w:rPr>
          <w:rFonts w:ascii="Times New Roman" w:hAnsi="Times New Roman" w:eastAsia="PT Astra Serif" w:cs="Times New Roman"/>
          <w:sz w:val="24"/>
          <w:szCs w:val="24"/>
          <w:highlight w:val="none"/>
        </w:rPr>
        <w:tab/>
      </w:r>
      <w:r>
        <w:rPr>
          <w:rFonts w:ascii="Times New Roman" w:hAnsi="Times New Roman" w:eastAsia="PT Astra Serif" w:cs="Times New Roman"/>
          <w:sz w:val="24"/>
          <w:szCs w:val="24"/>
          <w:highlight w:val="none"/>
        </w:rPr>
        <w:t xml:space="preserve">При исполнении Контракта предусмотрено казначейское сопровождение расчетов по контракту в соответствии с Бюджетным кодексом РФ, Постановлением Правительства РФ от 24 ноября 2021 г. №2024 «О правилах казначейского сопровождения», </w:t>
      </w:r>
      <w:r>
        <w:rPr>
          <w:rFonts w:ascii="Times New Roman" w:hAnsi="Times New Roman" w:eastAsia="PT Astra Serif" w:cs="Times New Roman"/>
          <w:color w:val="FF0000"/>
          <w:sz w:val="24"/>
          <w:szCs w:val="24"/>
          <w:highlight w:val="none"/>
        </w:rPr>
        <w:t>Федеральным законом от 30.11.2024 № 419-ФЗ «О федеральном бюджете на 2025 год и на плановый период 2026 и 2027 годов».</w:t>
      </w:r>
    </w:p>
    <w:p w14:paraId="25CCA20E">
      <w:pPr>
        <w:ind w:left="-15" w:firstLine="540"/>
        <w:jc w:val="both"/>
        <w:rPr>
          <w:rFonts w:ascii="Times New Roman" w:hAnsi="Times New Roman" w:eastAsia="PT Astra Serif" w:cs="Times New Roman"/>
          <w:sz w:val="24"/>
          <w:szCs w:val="24"/>
          <w:highlight w:val="none"/>
        </w:rPr>
      </w:pPr>
      <w:r>
        <w:rPr>
          <w:rFonts w:ascii="Times New Roman" w:hAnsi="Times New Roman" w:eastAsia="PT Astra Serif" w:cs="Times New Roman"/>
          <w:sz w:val="24"/>
          <w:szCs w:val="24"/>
          <w:highlight w:val="none"/>
        </w:rPr>
        <w:t>2.8.</w:t>
      </w:r>
      <w:r>
        <w:rPr>
          <w:rFonts w:ascii="Times New Roman" w:hAnsi="Times New Roman" w:eastAsia="PT Astra Serif" w:cs="Times New Roman"/>
          <w:sz w:val="24"/>
          <w:szCs w:val="24"/>
          <w:highlight w:val="none"/>
        </w:rPr>
        <w:tab/>
      </w:r>
      <w:r>
        <w:rPr>
          <w:rFonts w:ascii="Times New Roman" w:hAnsi="Times New Roman" w:eastAsia="PT Astra Serif" w:cs="Times New Roman"/>
          <w:sz w:val="24"/>
          <w:szCs w:val="24"/>
          <w:highlight w:val="none"/>
        </w:rPr>
        <w:t xml:space="preserve"> Условия казначейского сопровождения.</w:t>
      </w:r>
    </w:p>
    <w:p w14:paraId="63D5F386">
      <w:pPr>
        <w:ind w:left="-15" w:firstLine="540"/>
        <w:jc w:val="both"/>
        <w:rPr>
          <w:rFonts w:ascii="Times New Roman" w:hAnsi="Times New Roman" w:eastAsia="PT Astra Serif" w:cs="Times New Roman"/>
          <w:sz w:val="24"/>
          <w:szCs w:val="24"/>
          <w:highlight w:val="none"/>
        </w:rPr>
      </w:pPr>
      <w:r>
        <w:rPr>
          <w:rFonts w:ascii="Times New Roman" w:hAnsi="Times New Roman" w:eastAsia="PT Astra Serif" w:cs="Times New Roman"/>
          <w:sz w:val="24"/>
          <w:szCs w:val="24"/>
          <w:highlight w:val="none"/>
        </w:rPr>
        <w:t>2.8.1.</w:t>
      </w:r>
      <w:r>
        <w:rPr>
          <w:rFonts w:ascii="Times New Roman" w:hAnsi="Times New Roman" w:eastAsia="PT Astra Serif" w:cs="Times New Roman"/>
          <w:sz w:val="24"/>
          <w:szCs w:val="24"/>
          <w:highlight w:val="none"/>
        </w:rPr>
        <w:tab/>
      </w:r>
      <w:r>
        <w:rPr>
          <w:rFonts w:ascii="Times New Roman" w:hAnsi="Times New Roman" w:eastAsia="PT Astra Serif" w:cs="Times New Roman"/>
          <w:sz w:val="24"/>
          <w:szCs w:val="24"/>
          <w:highlight w:val="none"/>
        </w:rPr>
        <w:t xml:space="preserve"> Подрядчик обязан:</w:t>
      </w:r>
    </w:p>
    <w:p w14:paraId="7B86C497">
      <w:pPr>
        <w:ind w:left="-15" w:firstLine="540"/>
        <w:jc w:val="both"/>
        <w:rPr>
          <w:rFonts w:ascii="Times New Roman" w:hAnsi="Times New Roman" w:eastAsia="PT Astra Serif" w:cs="Times New Roman"/>
          <w:sz w:val="24"/>
          <w:szCs w:val="24"/>
          <w:highlight w:val="none"/>
        </w:rPr>
      </w:pPr>
      <w:r>
        <w:rPr>
          <w:rFonts w:ascii="Times New Roman" w:hAnsi="Times New Roman" w:eastAsia="PT Astra Serif" w:cs="Times New Roman"/>
          <w:sz w:val="24"/>
          <w:szCs w:val="24"/>
          <w:highlight w:val="none"/>
        </w:rPr>
        <w:t></w:t>
      </w:r>
      <w:r>
        <w:rPr>
          <w:rFonts w:ascii="Times New Roman" w:hAnsi="Times New Roman" w:eastAsia="PT Astra Serif" w:cs="Times New Roman"/>
          <w:sz w:val="24"/>
          <w:szCs w:val="24"/>
          <w:highlight w:val="none"/>
        </w:rPr>
        <w:tab/>
      </w:r>
      <w:r>
        <w:rPr>
          <w:rFonts w:ascii="Times New Roman" w:hAnsi="Times New Roman" w:eastAsia="PT Astra Serif" w:cs="Times New Roman"/>
          <w:sz w:val="24"/>
          <w:szCs w:val="24"/>
          <w:highlight w:val="none"/>
        </w:rPr>
        <w:t>открыть лицевой счет для осуществления и отражения операций со средствами участников казначейского сопровождения в территориальном органе Федерального казначейства;</w:t>
      </w:r>
    </w:p>
    <w:p w14:paraId="320010CE">
      <w:pPr>
        <w:ind w:left="-15" w:firstLine="540"/>
        <w:jc w:val="both"/>
        <w:rPr>
          <w:rFonts w:ascii="Times New Roman" w:hAnsi="Times New Roman" w:eastAsia="PT Astra Serif" w:cs="Times New Roman"/>
          <w:sz w:val="24"/>
          <w:szCs w:val="24"/>
          <w:highlight w:val="none"/>
        </w:rPr>
      </w:pPr>
      <w:r>
        <w:rPr>
          <w:rFonts w:ascii="Times New Roman" w:hAnsi="Times New Roman" w:eastAsia="PT Astra Serif" w:cs="Times New Roman"/>
          <w:sz w:val="24"/>
          <w:szCs w:val="24"/>
          <w:highlight w:val="none"/>
        </w:rPr>
        <w:t></w:t>
      </w:r>
      <w:r>
        <w:rPr>
          <w:rFonts w:ascii="Times New Roman" w:hAnsi="Times New Roman" w:eastAsia="PT Astra Serif" w:cs="Times New Roman"/>
          <w:sz w:val="24"/>
          <w:szCs w:val="24"/>
          <w:highlight w:val="none"/>
        </w:rPr>
        <w:tab/>
      </w:r>
      <w:r>
        <w:rPr>
          <w:rFonts w:ascii="Times New Roman" w:hAnsi="Times New Roman" w:eastAsia="PT Astra Serif" w:cs="Times New Roman"/>
          <w:sz w:val="24"/>
          <w:szCs w:val="24"/>
          <w:highlight w:val="none"/>
        </w:rPr>
        <w:t>предоставлять в территориальный орган Федерального казначейства документы, установленные Порядком осуществления территориальными органами Федерального казначейства санкционирования операций со средствами участников казначейского сопровождения, утвержденным приказом Минфина России от 17.12.2021 № 214н (далее – Порядок санкционирования);</w:t>
      </w:r>
    </w:p>
    <w:p w14:paraId="2600B441">
      <w:pPr>
        <w:ind w:left="-15" w:firstLine="540"/>
        <w:jc w:val="both"/>
        <w:rPr>
          <w:rFonts w:ascii="Times New Roman" w:hAnsi="Times New Roman" w:eastAsia="PT Astra Serif" w:cs="Times New Roman"/>
          <w:sz w:val="24"/>
          <w:szCs w:val="24"/>
          <w:highlight w:val="none"/>
        </w:rPr>
      </w:pPr>
      <w:r>
        <w:rPr>
          <w:rFonts w:ascii="Times New Roman" w:hAnsi="Times New Roman" w:eastAsia="PT Astra Serif" w:cs="Times New Roman"/>
          <w:sz w:val="24"/>
          <w:szCs w:val="24"/>
          <w:highlight w:val="none"/>
        </w:rPr>
        <w:t></w:t>
      </w:r>
      <w:r>
        <w:rPr>
          <w:rFonts w:ascii="Times New Roman" w:hAnsi="Times New Roman" w:eastAsia="PT Astra Serif" w:cs="Times New Roman"/>
          <w:sz w:val="24"/>
          <w:szCs w:val="24"/>
          <w:highlight w:val="none"/>
        </w:rPr>
        <w:tab/>
      </w:r>
      <w:r>
        <w:rPr>
          <w:rFonts w:ascii="Times New Roman" w:hAnsi="Times New Roman" w:eastAsia="PT Astra Serif" w:cs="Times New Roman"/>
          <w:sz w:val="24"/>
          <w:szCs w:val="24"/>
          <w:highlight w:val="none"/>
        </w:rPr>
        <w:t>указывать в заключаемых им контрактах (договорах), распоряжениях, а также в документах, установленных порядком санкционирования целевых средств, идентификатор контракта, сформированный в соответствии с Порядком формирования идентификатора государственного контракта, договора (соглашения) при казначейском сопровождении средств, утвержденным приказом Минфина России от 02.12.2021 № 205н (далее - Порядок № 205н), а также обеспечить включение аналогичных обязательств в контракты (договоры), заключаемые с субподрядчиками;</w:t>
      </w:r>
    </w:p>
    <w:p w14:paraId="2728BFE3">
      <w:pPr>
        <w:ind w:left="-15" w:firstLine="540"/>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sz w:val="24"/>
          <w:szCs w:val="24"/>
          <w:highlight w:val="none"/>
        </w:rPr>
        <w:t></w:t>
      </w:r>
      <w:r>
        <w:rPr>
          <w:rFonts w:ascii="Times New Roman" w:hAnsi="Times New Roman" w:eastAsia="PT Astra Serif" w:cs="Times New Roman"/>
          <w:sz w:val="24"/>
          <w:szCs w:val="24"/>
          <w:highlight w:val="none"/>
        </w:rPr>
        <w:tab/>
      </w:r>
      <w:r>
        <w:rPr>
          <w:rFonts w:ascii="Times New Roman" w:hAnsi="Times New Roman" w:eastAsia="PT Astra Serif" w:cs="Times New Roman"/>
          <w:sz w:val="24"/>
          <w:szCs w:val="24"/>
          <w:highlight w:val="none"/>
        </w:rPr>
        <w:t>вести раздельный учет результатов финансово-хозяйственной деятельности по настоящему Контракту в соответствии с Порядком ведения учета доходов, затрат, произведенных участниками казначейского сопровождения в целях достижения результатов, установленных при предоставлении целевых средств, по каждому государственному (муниципальному</w:t>
      </w:r>
      <w:r>
        <w:rPr>
          <w:rFonts w:ascii="Times New Roman" w:hAnsi="Times New Roman" w:eastAsia="PT Astra Serif" w:cs="Times New Roman"/>
          <w:color w:val="000000" w:themeColor="text1"/>
          <w:sz w:val="24"/>
          <w:szCs w:val="24"/>
          <w:highlight w:val="none"/>
          <w14:textFill>
            <w14:solidFill>
              <w14:schemeClr w14:val="tx1"/>
            </w14:solidFill>
          </w14:textFill>
        </w:rPr>
        <w:t>) контракту, договору (соглашению), контракту (договору), утвержденным приказом Минфина России от 10.12.2021 № 210н (далее - Порядок № 210н);</w:t>
      </w:r>
    </w:p>
    <w:p w14:paraId="286684C7">
      <w:pPr>
        <w:ind w:left="-15" w:firstLine="540"/>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w:t>
      </w:r>
      <w:r>
        <w:rPr>
          <w:rFonts w:ascii="Times New Roman" w:hAnsi="Times New Roman" w:eastAsia="PT Astra Serif" w:cs="Times New Roman"/>
          <w:color w:val="000000" w:themeColor="text1"/>
          <w:sz w:val="24"/>
          <w:szCs w:val="24"/>
          <w:highlight w:val="none"/>
          <w14:textFill>
            <w14:solidFill>
              <w14:schemeClr w14:val="tx1"/>
            </w14:solidFill>
          </w14:textFill>
        </w:rPr>
        <w:tab/>
      </w:r>
      <w:r>
        <w:rPr>
          <w:rFonts w:ascii="Times New Roman" w:hAnsi="Times New Roman" w:eastAsia="PT Astra Serif" w:cs="Times New Roman"/>
          <w:color w:val="000000" w:themeColor="text1"/>
          <w:sz w:val="24"/>
          <w:szCs w:val="24"/>
          <w:highlight w:val="none"/>
          <w14:textFill>
            <w14:solidFill>
              <w14:schemeClr w14:val="tx1"/>
            </w14:solidFill>
          </w14:textFill>
        </w:rPr>
        <w:t>формировать, в установленных Правительством Российской Федерации случаях, информацию о структуре цены государственного (муниципального) контракта, контракта (договора), сумме средств, предусмотренной договором (соглашением), в порядке и по форме, установленным Министерством финансов Российской Федерации (далее - расходная декларация);</w:t>
      </w:r>
    </w:p>
    <w:p w14:paraId="158A21EF">
      <w:pPr>
        <w:ind w:left="-15" w:firstLine="540"/>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w:t>
      </w:r>
      <w:r>
        <w:rPr>
          <w:rFonts w:ascii="Times New Roman" w:hAnsi="Times New Roman" w:eastAsia="PT Astra Serif" w:cs="Times New Roman"/>
          <w:color w:val="000000" w:themeColor="text1"/>
          <w:sz w:val="24"/>
          <w:szCs w:val="24"/>
          <w:highlight w:val="none"/>
          <w14:textFill>
            <w14:solidFill>
              <w14:schemeClr w14:val="tx1"/>
            </w14:solidFill>
          </w14:textFill>
        </w:rPr>
        <w:tab/>
      </w:r>
      <w:r>
        <w:rPr>
          <w:rFonts w:ascii="Times New Roman" w:hAnsi="Times New Roman" w:eastAsia="PT Astra Serif" w:cs="Times New Roman"/>
          <w:color w:val="000000" w:themeColor="text1"/>
          <w:sz w:val="24"/>
          <w:szCs w:val="24"/>
          <w:highlight w:val="none"/>
          <w14:textFill>
            <w14:solidFill>
              <w14:schemeClr w14:val="tx1"/>
            </w14:solidFill>
          </w14:textFill>
        </w:rPr>
        <w:t>соблюдать запреты, установленные пунктом 3 статьи 242.23 Бюджетного кодекса Российской Федерации;</w:t>
      </w:r>
    </w:p>
    <w:p w14:paraId="30A873F3">
      <w:pPr>
        <w:ind w:left="-15" w:firstLine="540"/>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w:t>
      </w:r>
      <w:r>
        <w:rPr>
          <w:rFonts w:ascii="Times New Roman" w:hAnsi="Times New Roman" w:eastAsia="PT Astra Serif" w:cs="Times New Roman"/>
          <w:color w:val="000000" w:themeColor="text1"/>
          <w:sz w:val="24"/>
          <w:szCs w:val="24"/>
          <w:highlight w:val="none"/>
          <w14:textFill>
            <w14:solidFill>
              <w14:schemeClr w14:val="tx1"/>
            </w14:solidFill>
          </w14:textFill>
        </w:rPr>
        <w:tab/>
      </w:r>
      <w:r>
        <w:rPr>
          <w:rFonts w:ascii="Times New Roman" w:hAnsi="Times New Roman" w:eastAsia="PT Astra Serif" w:cs="Times New Roman"/>
          <w:color w:val="000000" w:themeColor="text1"/>
          <w:sz w:val="24"/>
          <w:szCs w:val="24"/>
          <w:highlight w:val="none"/>
          <w14:textFill>
            <w14:solidFill>
              <w14:schemeClr w14:val="tx1"/>
            </w14:solidFill>
          </w14:textFill>
        </w:rPr>
        <w:t>соблюдать режим лицевого счета (ведение и использование лицевого счета).</w:t>
      </w:r>
    </w:p>
    <w:p w14:paraId="6011E9D3">
      <w:pPr>
        <w:ind w:left="-15" w:firstLine="540"/>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2.8.2.</w:t>
      </w:r>
      <w:r>
        <w:rPr>
          <w:rFonts w:ascii="Times New Roman" w:hAnsi="Times New Roman" w:eastAsia="PT Astra Serif" w:cs="Times New Roman"/>
          <w:color w:val="000000" w:themeColor="text1"/>
          <w:sz w:val="24"/>
          <w:szCs w:val="24"/>
          <w:highlight w:val="none"/>
          <w14:textFill>
            <w14:solidFill>
              <w14:schemeClr w14:val="tx1"/>
            </w14:solidFill>
          </w14:textFill>
        </w:rPr>
        <w:tab/>
      </w:r>
      <w:r>
        <w:rPr>
          <w:rFonts w:ascii="Times New Roman" w:hAnsi="Times New Roman" w:eastAsia="PT Astra Serif" w:cs="Times New Roman"/>
          <w:color w:val="000000" w:themeColor="text1"/>
          <w:sz w:val="24"/>
          <w:szCs w:val="24"/>
          <w:highlight w:val="none"/>
          <w14:textFill>
            <w14:solidFill>
              <w14:schemeClr w14:val="tx1"/>
            </w14:solidFill>
          </w14:textFill>
        </w:rPr>
        <w:t>При казначейском сопровождении режим лицевого счета, осуществляется в соответствии с Правилами казначейского сопровождении, утвержденными Постановлением Правительства Российской Федерации от 24.11.2021 №2024 «О правилах казначейского сопровождения».</w:t>
      </w:r>
    </w:p>
    <w:p w14:paraId="794563CD">
      <w:pPr>
        <w:ind w:left="-15" w:firstLine="540"/>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2.8.3.</w:t>
      </w:r>
      <w:r>
        <w:rPr>
          <w:rFonts w:ascii="Times New Roman" w:hAnsi="Times New Roman" w:eastAsia="PT Astra Serif" w:cs="Times New Roman"/>
          <w:color w:val="000000" w:themeColor="text1"/>
          <w:sz w:val="24"/>
          <w:szCs w:val="24"/>
          <w:highlight w:val="none"/>
          <w14:textFill>
            <w14:solidFill>
              <w14:schemeClr w14:val="tx1"/>
            </w14:solidFill>
          </w14:textFill>
        </w:rPr>
        <w:tab/>
      </w:r>
      <w:r>
        <w:rPr>
          <w:rFonts w:ascii="Times New Roman" w:hAnsi="Times New Roman" w:eastAsia="PT Astra Serif" w:cs="Times New Roman"/>
          <w:color w:val="000000" w:themeColor="text1"/>
          <w:sz w:val="24"/>
          <w:szCs w:val="24"/>
          <w:highlight w:val="none"/>
          <w14:textFill>
            <w14:solidFill>
              <w14:schemeClr w14:val="tx1"/>
            </w14:solidFill>
          </w14:textFill>
        </w:rPr>
        <w:t>Подрядчику запрещено перечислять средства с лицевого счета:</w:t>
      </w:r>
    </w:p>
    <w:p w14:paraId="0B783D71">
      <w:pPr>
        <w:ind w:left="-15" w:firstLine="540"/>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а) в качестве взноса в уставный (складочный) капитал другого юридического лица (дочернего общества юридического лица), вклада в имущество другого юридического лица (дочернего общества юридического лица), не увеличивающего его уставный (складочный) капитал;</w:t>
      </w:r>
    </w:p>
    <w:p w14:paraId="6F80BD42">
      <w:pPr>
        <w:ind w:left="-15" w:firstLine="540"/>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б) на свои счета, открытые в учреждении Центрального банка Российской Федерации или в кредитной организации (далее - банк), за исключением:</w:t>
      </w:r>
    </w:p>
    <w:p w14:paraId="21DD1B68">
      <w:pPr>
        <w:ind w:left="-15" w:firstLine="540"/>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 xml:space="preserve">- оплаты обязательств Подрядчика в соответствии с валютным законодательством Российской Федерации; </w:t>
      </w:r>
    </w:p>
    <w:p w14:paraId="39F267C0">
      <w:pPr>
        <w:ind w:left="-15" w:firstLine="540"/>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 оплаты обязательств по оплате труда с учетом начислений и социальных выплат, иных выплат в пользу работников, а также выплат лицам, не состоящим в штате, привлеченным для достижения цели, определенной при предоставлении средств;</w:t>
      </w:r>
    </w:p>
    <w:p w14:paraId="288CB7D3">
      <w:pPr>
        <w:ind w:left="-15" w:firstLine="540"/>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 оплаты фактически поставленных товаров, выполненных работ, оказанных услуг, в случае, если Подрядчик не привлекает для поставки товаров, выполнения работ, оказания услуг иных юридических лиц, а также при условии представления документов, установленных Порядком санкционирования, подтверждающих возникновение денежных обязательств, и (или) иных документов, предусмотренных государственными контрактами, контрактами (договорами) (далее - документы-основания) или нормативными правовыми актами (правовыми актами), регулирующими порядок предоставления средств;</w:t>
      </w:r>
    </w:p>
    <w:p w14:paraId="6E6B2ACE">
      <w:pPr>
        <w:ind w:left="-15" w:firstLine="540"/>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 возмещения произведенных Подрядчиком расходов (части расходов) при условии представления документов-оснований, копий платежных документов, подтверждающих оплату произведенных расходов (части расходов);</w:t>
      </w:r>
    </w:p>
    <w:p w14:paraId="1335C267">
      <w:pPr>
        <w:ind w:left="-15" w:firstLine="540"/>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 оплаты обязательств по накладным расходам в соответствии с Порядком санкционирования;</w:t>
      </w:r>
    </w:p>
    <w:p w14:paraId="63C4FE5F">
      <w:pPr>
        <w:ind w:left="-15" w:firstLine="540"/>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в) на счета, открытые в банках юридическим лицам, заключившим с Подрядчиком договоры (контракты, соглашения), за исключением договоров (контрактов, соглашений), заключаемых в целях приобретения услуг связи по приему, обработке, хранению, передаче, доставке сообщений электросвязи или почтовых отправлений, коммунальных услуг, электроэнергии, гостиничных услуг, услуг по организации и осуществлению перевозки грузов и пассажиров железнодорожным транспортом общего пользования, авиационных и железнодорожных билетов, билетов для проезда городским и пригородным транспортом, подписки на периодические издания, аренды, осуществления работ по переносу (переустройству, присоединению) принадлежащих юридическим лицам инженерных сетей, коммуникаций, сооружений, а также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 осуществления страхования в соответствии со страховым законодательством, услуг по приему платежей от физических лиц, осуществляемых платежными агентами.</w:t>
      </w:r>
    </w:p>
    <w:p w14:paraId="066F735D">
      <w:pPr>
        <w:ind w:left="-15" w:firstLine="540"/>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2.8.4.</w:t>
      </w:r>
      <w:r>
        <w:rPr>
          <w:rFonts w:ascii="Times New Roman" w:hAnsi="Times New Roman" w:eastAsia="PT Astra Serif" w:cs="Times New Roman"/>
          <w:color w:val="000000" w:themeColor="text1"/>
          <w:sz w:val="24"/>
          <w:szCs w:val="24"/>
          <w:highlight w:val="none"/>
          <w14:textFill>
            <w14:solidFill>
              <w14:schemeClr w14:val="tx1"/>
            </w14:solidFill>
          </w14:textFill>
        </w:rPr>
        <w:tab/>
      </w:r>
      <w:r>
        <w:rPr>
          <w:rFonts w:ascii="Times New Roman" w:hAnsi="Times New Roman" w:eastAsia="PT Astra Serif" w:cs="Times New Roman"/>
          <w:color w:val="000000" w:themeColor="text1"/>
          <w:sz w:val="24"/>
          <w:szCs w:val="24"/>
          <w:highlight w:val="none"/>
          <w14:textFill>
            <w14:solidFill>
              <w14:schemeClr w14:val="tx1"/>
            </w14:solidFill>
          </w14:textFill>
        </w:rPr>
        <w:t>Подрядчик вправе перечислять средства с лицевого счета на счет, открытый ему в банке, после проведения территориальным органом Федерального казначейства проверки документов-оснований в соответствии с Порядком санкционирования в случае, если оплата осуществляется единовременно после полного исполнения государственного контракта.</w:t>
      </w:r>
    </w:p>
    <w:p w14:paraId="0407404A">
      <w:pPr>
        <w:ind w:left="-15" w:firstLine="540"/>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2.8.5.</w:t>
      </w:r>
      <w:r>
        <w:rPr>
          <w:rFonts w:ascii="Times New Roman" w:hAnsi="Times New Roman" w:eastAsia="PT Astra Serif" w:cs="Times New Roman"/>
          <w:color w:val="000000" w:themeColor="text1"/>
          <w:sz w:val="24"/>
          <w:szCs w:val="24"/>
          <w:highlight w:val="none"/>
          <w14:textFill>
            <w14:solidFill>
              <w14:schemeClr w14:val="tx1"/>
            </w14:solidFill>
          </w14:textFill>
        </w:rPr>
        <w:tab/>
      </w:r>
      <w:r>
        <w:rPr>
          <w:rFonts w:ascii="Times New Roman" w:hAnsi="Times New Roman" w:eastAsia="PT Astra Serif" w:cs="Times New Roman"/>
          <w:color w:val="000000" w:themeColor="text1"/>
          <w:sz w:val="24"/>
          <w:szCs w:val="24"/>
          <w:highlight w:val="none"/>
          <w14:textFill>
            <w14:solidFill>
              <w14:schemeClr w14:val="tx1"/>
            </w14:solidFill>
          </w14:textFill>
        </w:rPr>
        <w:t xml:space="preserve"> Заказчик обязан утвердить сведения об операциях с целевыми средствами, необходимые для санкционирования расходов.</w:t>
      </w:r>
    </w:p>
    <w:p w14:paraId="6E0F2C0E">
      <w:pPr>
        <w:ind w:left="-15" w:firstLine="540"/>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2.8.6.</w:t>
      </w:r>
      <w:r>
        <w:rPr>
          <w:rFonts w:ascii="Times New Roman" w:hAnsi="Times New Roman" w:eastAsia="PT Astra Serif" w:cs="Times New Roman"/>
          <w:color w:val="000000" w:themeColor="text1"/>
          <w:sz w:val="24"/>
          <w:szCs w:val="24"/>
          <w:highlight w:val="none"/>
          <w14:textFill>
            <w14:solidFill>
              <w14:schemeClr w14:val="tx1"/>
            </w14:solidFill>
          </w14:textFill>
        </w:rPr>
        <w:tab/>
      </w:r>
      <w:r>
        <w:rPr>
          <w:rFonts w:ascii="Times New Roman" w:hAnsi="Times New Roman" w:eastAsia="PT Astra Serif" w:cs="Times New Roman"/>
          <w:color w:val="000000" w:themeColor="text1"/>
          <w:sz w:val="24"/>
          <w:szCs w:val="24"/>
          <w:highlight w:val="none"/>
          <w14:textFill>
            <w14:solidFill>
              <w14:schemeClr w14:val="tx1"/>
            </w14:solidFill>
          </w14:textFill>
        </w:rPr>
        <w:t>Операции с целевыми средствами, отраженными на лицевом счете, проводятся после осуществления территориальными органами Федерального казначейства санкционирования расходов в порядке, установленном Министерством финансов Российской Федерации, в соответствии с пунктом 4 статьи 242.23 Бюджетного кодекса Российской Федерации, на основании документов-оснований и сведений об операциях с целевыми средствами, сформированных и утвержденных в порядке и по форме, которые предусмотрены Порядком санкционирования.</w:t>
      </w:r>
    </w:p>
    <w:p w14:paraId="04166D21">
      <w:pPr>
        <w:ind w:left="-15" w:firstLine="540"/>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2.8.7.</w:t>
      </w:r>
      <w:r>
        <w:rPr>
          <w:rFonts w:ascii="Times New Roman" w:hAnsi="Times New Roman" w:eastAsia="PT Astra Serif" w:cs="Times New Roman"/>
          <w:color w:val="000000" w:themeColor="text1"/>
          <w:sz w:val="24"/>
          <w:szCs w:val="24"/>
          <w:highlight w:val="none"/>
          <w14:textFill>
            <w14:solidFill>
              <w14:schemeClr w14:val="tx1"/>
            </w14:solidFill>
          </w14:textFill>
        </w:rPr>
        <w:tab/>
      </w:r>
      <w:r>
        <w:rPr>
          <w:rFonts w:ascii="Times New Roman" w:hAnsi="Times New Roman" w:eastAsia="PT Astra Serif" w:cs="Times New Roman"/>
          <w:color w:val="000000" w:themeColor="text1"/>
          <w:sz w:val="24"/>
          <w:szCs w:val="24"/>
          <w:highlight w:val="none"/>
          <w14:textFill>
            <w14:solidFill>
              <w14:schemeClr w14:val="tx1"/>
            </w14:solidFill>
          </w14:textFill>
        </w:rPr>
        <w:t>При наличии оснований, указанных в пунктах 10 и 11 статьи 242.13-1 Бюджетного кодекса Российской Федерации соответственно, операции на лицевом счете не осуществляются или в осуществлении операции на лицевом счете отказывается, а также приостанавливаются операции на лицевом счете в соответствии с пунктом 3 указанной статьи в соответствии с Порядком проведения бюджетного мониторинга и применения мер реагирования в целях недопущения финансовых нарушений участниками казначейского сопровождения, утвержденным постановлением Правительства Российской Федерации от 25.12.2021 года № 2483.</w:t>
      </w:r>
    </w:p>
    <w:p w14:paraId="46778D08">
      <w:pPr>
        <w:ind w:left="-15" w:firstLine="540"/>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2.8.8.</w:t>
      </w:r>
      <w:r>
        <w:rPr>
          <w:rFonts w:ascii="Times New Roman" w:hAnsi="Times New Roman" w:eastAsia="PT Astra Serif" w:cs="Times New Roman"/>
          <w:color w:val="000000" w:themeColor="text1"/>
          <w:sz w:val="24"/>
          <w:szCs w:val="24"/>
          <w:highlight w:val="none"/>
          <w14:textFill>
            <w14:solidFill>
              <w14:schemeClr w14:val="tx1"/>
            </w14:solidFill>
          </w14:textFill>
        </w:rPr>
        <w:tab/>
      </w:r>
      <w:r>
        <w:rPr>
          <w:rFonts w:ascii="Times New Roman" w:hAnsi="Times New Roman" w:eastAsia="PT Astra Serif" w:cs="Times New Roman"/>
          <w:color w:val="000000" w:themeColor="text1"/>
          <w:sz w:val="24"/>
          <w:szCs w:val="24"/>
          <w:highlight w:val="none"/>
          <w14:textFill>
            <w14:solidFill>
              <w14:schemeClr w14:val="tx1"/>
            </w14:solidFill>
          </w14:textFill>
        </w:rPr>
        <w:t>Операции по зачислению целевых средств на лицевые счета и списанию целевых средств с лицевых счетов осуществляются при указании в распоряжениях, а также в документах-основаниях идентификатора государственного контракта, сформированного в соответствии с Порядком № 205н.</w:t>
      </w:r>
    </w:p>
    <w:p w14:paraId="601C057F">
      <w:pPr>
        <w:ind w:left="-15" w:firstLine="540"/>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2.8.9. На основании Постановления Правительства Российской Федерации от 11.12.2024 № 1752 «О порядке перечисления в 2025 году средств, подлежащих казначейскому сопровождению, на расчетные счета, открытые в кредитных организациях» перечисление средств с лицевых счетов участников казначейского сопровождения осуществляется с учетом следующих особенностей:</w:t>
      </w:r>
    </w:p>
    <w:p w14:paraId="30777720">
      <w:pPr>
        <w:ind w:left="-15" w:firstLine="540"/>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w:t>
      </w:r>
      <w:r>
        <w:rPr>
          <w:rFonts w:ascii="Times New Roman" w:hAnsi="Times New Roman" w:eastAsia="PT Astra Serif" w:cs="Times New Roman"/>
          <w:color w:val="000000" w:themeColor="text1"/>
          <w:sz w:val="24"/>
          <w:szCs w:val="24"/>
          <w:highlight w:val="none"/>
          <w14:textFill>
            <w14:solidFill>
              <w14:schemeClr w14:val="tx1"/>
            </w14:solidFill>
          </w14:textFill>
        </w:rPr>
        <w:tab/>
      </w:r>
      <w:r>
        <w:rPr>
          <w:rFonts w:ascii="Times New Roman" w:hAnsi="Times New Roman" w:eastAsia="PT Astra Serif" w:cs="Times New Roman"/>
          <w:color w:val="000000" w:themeColor="text1"/>
          <w:sz w:val="24"/>
          <w:szCs w:val="24"/>
          <w:highlight w:val="none"/>
          <w14:textFill>
            <w14:solidFill>
              <w14:schemeClr w14:val="tx1"/>
            </w14:solidFill>
          </w14:textFill>
        </w:rPr>
        <w:t>перечисление средств с лицевых счетов участника казначейского сопровождения, открытых в территориальных органах Федерального казначейства заказчикам по контрактам (договорам), заключаемым в рамках исполнения государственных (муниципальных) контрактов, контрактов (договоров), заключаемых бюджетными и автономными учреждениями, договоров (соглашений) о предоставлении субсидий, договоров о предоставлении бюджетных инвестиций, концессионных соглашений и соглашений о государственно-частном партнерстве (муниципально-частном партнерстве) (далее соответственно - контракт (договор), государственный (муниципальный) контракт, контракт учреждения, соглашение (договор), указанных в частях 2 и 4 статьи 15 Федерального закона "О внесении изменений в отдельные законодательные акты Российской Федерации, приостановлении действия отдельных положений законодательных актов Российской Федерации,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2025 году", осуществляется в 2025 году на расчетные счета, открытые в кредитных организациях поставщикам товаров, при представлении в территориальный орган Федерального казначейства заказчиками по контрактам (договорам), заключаемым в рамках исполнения государственного (муниципального) контракта, контракта учреждения, соглашения (договора), подтверждающих поставку товаров документов, определенных нормативным правовым актом Министерства финансов Российской Федерации в соответствии с пунктом 4 статьи 242.23 Бюджетного кодекса Российской Федерации (далее - порядок санкционирования);</w:t>
      </w:r>
    </w:p>
    <w:p w14:paraId="07CE105D">
      <w:pPr>
        <w:ind w:left="-15" w:firstLine="540"/>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w:t>
      </w:r>
      <w:r>
        <w:rPr>
          <w:rFonts w:ascii="Times New Roman" w:hAnsi="Times New Roman" w:eastAsia="PT Astra Serif" w:cs="Times New Roman"/>
          <w:color w:val="000000" w:themeColor="text1"/>
          <w:sz w:val="24"/>
          <w:szCs w:val="24"/>
          <w:highlight w:val="none"/>
          <w14:textFill>
            <w14:solidFill>
              <w14:schemeClr w14:val="tx1"/>
            </w14:solidFill>
          </w14:textFill>
        </w:rPr>
        <w:tab/>
      </w:r>
      <w:r>
        <w:rPr>
          <w:rFonts w:ascii="Times New Roman" w:hAnsi="Times New Roman" w:eastAsia="PT Astra Serif" w:cs="Times New Roman"/>
          <w:color w:val="000000" w:themeColor="text1"/>
          <w:sz w:val="24"/>
          <w:szCs w:val="24"/>
          <w:highlight w:val="none"/>
          <w14:textFill>
            <w14:solidFill>
              <w14:schemeClr w14:val="tx1"/>
            </w14:solidFill>
          </w14:textFill>
        </w:rPr>
        <w:t>перечисление средств (в части авансовых платежей) с лицевых счетов участника казначейского сопровождения, открытых в территориальных органах Федерального казначейства заказчикам по контрактам (договорам), заключаемым в рамках исполнения государственных (муниципальных) контрактов, контрактов учреждений, соглашений (договоров), указанных в частях 2.1 и 4 статьи 15 Федерального закона "О внесении изменений в отдельные законодательные акты Российской Федерации, приостановлении действия отдельных положений законодательных актов Российской Федерации,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2025 году", осуществляется в 2025 году на расчетные счета, открытые в кредитных организациях поставщикам строительных материалов и оборудования, затраты на приобретение которых включены в проектную документацию на строительство (реконструкцию, в том числе с элементами реставрации, техническое перевооружение), капитальный ремонт объектов капитального строительства (далее - проектная документация), информация о которых содержится в перечне строительных материалов и оборудования, включенных в проектную документацию (далее - перечень), по форме согласно приложению № 1.</w:t>
      </w:r>
    </w:p>
    <w:p w14:paraId="0432F97D">
      <w:pPr>
        <w:ind w:left="-15" w:firstLine="540"/>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w:t>
      </w:r>
      <w:r>
        <w:rPr>
          <w:rFonts w:ascii="Times New Roman" w:hAnsi="Times New Roman" w:eastAsia="PT Astra Serif" w:cs="Times New Roman"/>
          <w:color w:val="000000" w:themeColor="text1"/>
          <w:sz w:val="24"/>
          <w:szCs w:val="24"/>
          <w:highlight w:val="none"/>
          <w14:textFill>
            <w14:solidFill>
              <w14:schemeClr w14:val="tx1"/>
            </w14:solidFill>
          </w14:textFill>
        </w:rPr>
        <w:tab/>
      </w:r>
      <w:r>
        <w:rPr>
          <w:rFonts w:ascii="Times New Roman" w:hAnsi="Times New Roman" w:eastAsia="PT Astra Serif" w:cs="Times New Roman"/>
          <w:color w:val="000000" w:themeColor="text1"/>
          <w:sz w:val="24"/>
          <w:szCs w:val="24"/>
          <w:highlight w:val="none"/>
          <w14:textFill>
            <w14:solidFill>
              <w14:schemeClr w14:val="tx1"/>
            </w14:solidFill>
          </w14:textFill>
        </w:rPr>
        <w:t>Перечисление средств с лицевых счетов участника казначейского сопровождения, открытых в территориальных органах Федерального казначейства заказчикам по контрактам (договорам), заключаемым в рамках исполнения государственных (муниципальных) контрактов, контрактов учреждений, указанных в частях 3 и 4 статьи 15 Федерального закона "О внесении изменений в отдельные законодательные акты Российской Федерации, приостановлении действия отдельных положений законодательных актов Российской Федерации,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2025 году", осуществляется в 2025 году на расчетные счета, открытые в кредитных организациях подрядчикам (исполнителям) по таким контрактам (договорам) (далее - подрядчики (исполнители), при представлении заказчиком в территориальный орган Федерального казначейства по месту открытия ему лицевого счета участника казначейского сопровождения документов, подтверждающих выполнение работ, оказание услуг, определенных порядком санкционирования, а также сформированного подрядчиком (исполнителем) реестра документов, подтверждающих затраты подрядчика (исполнителя) по контракту (договору), заключенному в рамках исполнения государственного (муниципального) контракта, контракта учреждения, предметом которого являются строительство (реконструкция, в том числе с элементами реставрации, техническое перевооружение), капитальный ремонт объектов капитального строительства, произведенные в целях выполнения работ (оказания услуг), по форме согласно приложению № 2, указанные в документах, подтверждающих выполнение работ, оказание услуг, определенных порядком санкционирования.</w:t>
      </w:r>
    </w:p>
    <w:p w14:paraId="158F7DC9">
      <w:pPr>
        <w:ind w:left="-15" w:firstLine="540"/>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2.9.</w:t>
      </w:r>
      <w:r>
        <w:rPr>
          <w:rFonts w:ascii="Times New Roman" w:hAnsi="Times New Roman" w:eastAsia="PT Astra Serif" w:cs="Times New Roman"/>
          <w:color w:val="000000" w:themeColor="text1"/>
          <w:sz w:val="24"/>
          <w:szCs w:val="24"/>
          <w:highlight w:val="none"/>
          <w14:textFill>
            <w14:solidFill>
              <w14:schemeClr w14:val="tx1"/>
            </w14:solidFill>
          </w14:textFill>
        </w:rPr>
        <w:tab/>
      </w:r>
      <w:r>
        <w:rPr>
          <w:rFonts w:ascii="Times New Roman" w:hAnsi="Times New Roman" w:eastAsia="PT Astra Serif" w:cs="Times New Roman"/>
          <w:color w:val="000000" w:themeColor="text1"/>
          <w:sz w:val="24"/>
          <w:szCs w:val="24"/>
          <w:highlight w:val="none"/>
          <w14:textFill>
            <w14:solidFill>
              <w14:schemeClr w14:val="tx1"/>
            </w14:solidFill>
          </w14:textFill>
        </w:rPr>
        <w:t>Установить, что положения пункта 2.8 настоящего Контракта в 2025 году применяются с учетом особенностей, установленных Федеральным законом от 29.10.2024 № 367-ФЗ «О внесении изменений в отдельные законодательные акты Российской Федерации, приостановлении действия отдельных положений законодательных актов Российской Федерации,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2025 году».</w:t>
      </w:r>
    </w:p>
    <w:p w14:paraId="04E405B7">
      <w:pPr>
        <w:ind w:left="-15" w:firstLine="540"/>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2.10.</w:t>
      </w:r>
      <w:r>
        <w:rPr>
          <w:rFonts w:ascii="Times New Roman" w:hAnsi="Times New Roman" w:eastAsia="PT Astra Serif" w:cs="Times New Roman"/>
          <w:color w:val="000000" w:themeColor="text1"/>
          <w:sz w:val="24"/>
          <w:szCs w:val="24"/>
          <w:highlight w:val="none"/>
          <w14:textFill>
            <w14:solidFill>
              <w14:schemeClr w14:val="tx1"/>
            </w14:solidFill>
          </w14:textFill>
        </w:rPr>
        <w:tab/>
      </w:r>
      <w:r>
        <w:rPr>
          <w:rFonts w:ascii="Times New Roman" w:hAnsi="Times New Roman" w:eastAsia="PT Astra Serif" w:cs="Times New Roman"/>
          <w:color w:val="000000" w:themeColor="text1"/>
          <w:sz w:val="24"/>
          <w:szCs w:val="24"/>
          <w:highlight w:val="none"/>
          <w14:textFill>
            <w14:solidFill>
              <w14:schemeClr w14:val="tx1"/>
            </w14:solidFill>
          </w14:textFill>
        </w:rPr>
        <w:t xml:space="preserve">Оплата за выполненные Подрядчиком работы производится поэтапно, путем перечисления денежных средств на лицевой счет Подрядчика, открытый в территориальном органе Федерального казначейства, в срок не более 10 (десяти) рабочих дней на основании надлежаще оформленного и подписанного обеими Сторонами настоящего Контракта Акта о приемке выполненных работ (КС-2) и Справки о стоимости выполненных работ и затрат (КС-3), Акта приемки законченного строительством объекта (КС-11) (при оплате работ в последнем отчетном периоде), с учетом электронного актирования в Единой информационной системе в сфере закупок (далее соответственно - ЕИС, электронная приемка). </w:t>
      </w:r>
    </w:p>
    <w:p w14:paraId="59DADD5C">
      <w:pPr>
        <w:ind w:left="-15" w:firstLine="540"/>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При электронной приемке счет, счет-фактура формируются с использованием ЕИС (Приказ Минфина России от 5 февраля 2021 г. N 14н).</w:t>
      </w:r>
    </w:p>
    <w:p w14:paraId="2DCE482C">
      <w:pPr>
        <w:ind w:left="-15" w:firstLine="540"/>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2.11.</w:t>
      </w:r>
      <w:r>
        <w:rPr>
          <w:rFonts w:ascii="Times New Roman" w:hAnsi="Times New Roman" w:eastAsia="PT Astra Serif" w:cs="Times New Roman"/>
          <w:color w:val="000000" w:themeColor="text1"/>
          <w:sz w:val="24"/>
          <w:szCs w:val="24"/>
          <w:highlight w:val="none"/>
          <w14:textFill>
            <w14:solidFill>
              <w14:schemeClr w14:val="tx1"/>
            </w14:solidFill>
          </w14:textFill>
        </w:rPr>
        <w:tab/>
      </w:r>
      <w:r>
        <w:rPr>
          <w:rFonts w:ascii="Times New Roman" w:hAnsi="Times New Roman" w:eastAsia="PT Astra Serif" w:cs="Times New Roman"/>
          <w:color w:val="000000" w:themeColor="text1"/>
          <w:sz w:val="24"/>
          <w:szCs w:val="24"/>
          <w:highlight w:val="none"/>
          <w14:textFill>
            <w14:solidFill>
              <w14:schemeClr w14:val="tx1"/>
            </w14:solidFill>
          </w14:textFill>
        </w:rPr>
        <w:t>Заказчик осуществляет оплату в пределах лимитов бюджетных обязательств, выделенных на текущий финансовый год.</w:t>
      </w:r>
    </w:p>
    <w:p w14:paraId="7874DA2D">
      <w:pPr>
        <w:ind w:left="-15" w:firstLine="540"/>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2.12.</w:t>
      </w:r>
      <w:r>
        <w:rPr>
          <w:rFonts w:ascii="Times New Roman" w:hAnsi="Times New Roman" w:eastAsia="PT Astra Serif" w:cs="Times New Roman"/>
          <w:color w:val="000000" w:themeColor="text1"/>
          <w:sz w:val="24"/>
          <w:szCs w:val="24"/>
          <w:highlight w:val="none"/>
          <w14:textFill>
            <w14:solidFill>
              <w14:schemeClr w14:val="tx1"/>
            </w14:solidFill>
          </w14:textFill>
        </w:rPr>
        <w:tab/>
      </w:r>
      <w:r>
        <w:rPr>
          <w:rFonts w:ascii="Times New Roman" w:hAnsi="Times New Roman" w:eastAsia="PT Astra Serif" w:cs="Times New Roman"/>
          <w:color w:val="000000" w:themeColor="text1"/>
          <w:sz w:val="24"/>
          <w:szCs w:val="24"/>
          <w:highlight w:val="none"/>
          <w14:textFill>
            <w14:solidFill>
              <w14:schemeClr w14:val="tx1"/>
            </w14:solidFill>
          </w14:textFill>
        </w:rPr>
        <w:t>Датой оплаты считается дата списания денежных средств со счета Заказчика. За дальнейшее прохождение денежных средств Заказчик ответственности не несет.</w:t>
      </w:r>
    </w:p>
    <w:p w14:paraId="7BC0B6BC">
      <w:pPr>
        <w:ind w:left="-15" w:firstLine="540"/>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2.13.</w:t>
      </w:r>
      <w:r>
        <w:rPr>
          <w:rFonts w:ascii="Times New Roman" w:hAnsi="Times New Roman" w:eastAsia="PT Astra Serif" w:cs="Times New Roman"/>
          <w:color w:val="000000" w:themeColor="text1"/>
          <w:sz w:val="24"/>
          <w:szCs w:val="24"/>
          <w:highlight w:val="none"/>
          <w14:textFill>
            <w14:solidFill>
              <w14:schemeClr w14:val="tx1"/>
            </w14:solidFill>
          </w14:textFill>
        </w:rPr>
        <w:tab/>
      </w:r>
      <w:r>
        <w:rPr>
          <w:rFonts w:ascii="Times New Roman" w:hAnsi="Times New Roman" w:eastAsia="PT Astra Serif" w:cs="Times New Roman"/>
          <w:color w:val="000000" w:themeColor="text1"/>
          <w:sz w:val="24"/>
          <w:szCs w:val="24"/>
          <w:highlight w:val="none"/>
          <w14:textFill>
            <w14:solidFill>
              <w14:schemeClr w14:val="tx1"/>
            </w14:solidFill>
          </w14:textFill>
        </w:rPr>
        <w:t>В случае неисполнения или ненадлежащего исполнения Подрядчиком обязательств, предусмотренных Контрактом, Заказчик производит оплату за вычетом (удержанием) соответствующего размера неустойки (штрафа, пени), при условии, что Подрядчик ранее не оплатил соответствующую неустойку (пени, штраф) по требованию Заказчика, либо при условии, что Подрядчик согласен на такое удержание.</w:t>
      </w:r>
    </w:p>
    <w:p w14:paraId="55220F6F">
      <w:pPr>
        <w:ind w:left="-15" w:firstLine="540"/>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Заказчик обязан перечислить сумму неустойки (штрафа, пени) в доход соответствующего бюджета на основании платежного документа, оформленного Заказчиком, с указанием Подрядчика, за которого осуществляется перечисление неустойки (штрафа, пени).</w:t>
      </w:r>
    </w:p>
    <w:p w14:paraId="0537AD6E">
      <w:pPr>
        <w:ind w:left="-15" w:firstLine="540"/>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2.14.</w:t>
      </w:r>
      <w:r>
        <w:rPr>
          <w:rFonts w:ascii="Times New Roman" w:hAnsi="Times New Roman" w:eastAsia="PT Astra Serif" w:cs="Times New Roman"/>
          <w:color w:val="000000" w:themeColor="text1"/>
          <w:sz w:val="24"/>
          <w:szCs w:val="24"/>
          <w:highlight w:val="none"/>
          <w14:textFill>
            <w14:solidFill>
              <w14:schemeClr w14:val="tx1"/>
            </w14:solidFill>
          </w14:textFill>
        </w:rPr>
        <w:tab/>
      </w:r>
      <w:r>
        <w:rPr>
          <w:rFonts w:ascii="Times New Roman" w:hAnsi="Times New Roman" w:eastAsia="PT Astra Serif" w:cs="Times New Roman"/>
          <w:color w:val="000000" w:themeColor="text1"/>
          <w:sz w:val="24"/>
          <w:szCs w:val="24"/>
          <w:highlight w:val="none"/>
          <w14:textFill>
            <w14:solidFill>
              <w14:schemeClr w14:val="tx1"/>
            </w14:solidFill>
          </w14:textFill>
        </w:rPr>
        <w:t>Выплата аванса при исполнении Контракта не производится в случае, предусмотренном ч. 13 ст. 37 Федерального закона № 44-ФЗ.</w:t>
      </w:r>
    </w:p>
    <w:p w14:paraId="1347F332">
      <w:pPr>
        <w:ind w:left="-15" w:firstLine="540"/>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2.15.</w:t>
      </w:r>
      <w:r>
        <w:rPr>
          <w:rFonts w:ascii="Times New Roman" w:hAnsi="Times New Roman" w:eastAsia="PT Astra Serif" w:cs="Times New Roman"/>
          <w:color w:val="000000" w:themeColor="text1"/>
          <w:sz w:val="24"/>
          <w:szCs w:val="24"/>
          <w:highlight w:val="none"/>
          <w14:textFill>
            <w14:solidFill>
              <w14:schemeClr w14:val="tx1"/>
            </w14:solidFill>
          </w14:textFill>
        </w:rPr>
        <w:tab/>
      </w:r>
      <w:r>
        <w:rPr>
          <w:rFonts w:ascii="Times New Roman" w:hAnsi="Times New Roman" w:eastAsia="PT Astra Serif" w:cs="Times New Roman"/>
          <w:color w:val="000000" w:themeColor="text1"/>
          <w:sz w:val="24"/>
          <w:szCs w:val="24"/>
          <w:highlight w:val="none"/>
          <w14:textFill>
            <w14:solidFill>
              <w14:schemeClr w14:val="tx1"/>
            </w14:solidFill>
          </w14:textFill>
        </w:rPr>
        <w:t>Выплата аванса не является встречным обязательством Заказчика. Невыплата (несвоевременная выплата) аванса не является основанием для приостановления работ Подрядчиком.</w:t>
      </w:r>
    </w:p>
    <w:p w14:paraId="4DB14029">
      <w:pPr>
        <w:ind w:left="-15" w:firstLine="540"/>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2.16.</w:t>
      </w:r>
      <w:r>
        <w:rPr>
          <w:rFonts w:ascii="Times New Roman" w:hAnsi="Times New Roman" w:eastAsia="PT Astra Serif" w:cs="Times New Roman"/>
          <w:color w:val="000000" w:themeColor="text1"/>
          <w:sz w:val="24"/>
          <w:szCs w:val="24"/>
          <w:highlight w:val="none"/>
          <w14:textFill>
            <w14:solidFill>
              <w14:schemeClr w14:val="tx1"/>
            </w14:solidFill>
          </w14:textFill>
        </w:rPr>
        <w:tab/>
      </w:r>
      <w:r>
        <w:rPr>
          <w:rFonts w:ascii="Times New Roman" w:hAnsi="Times New Roman" w:eastAsia="PT Astra Serif" w:cs="Times New Roman"/>
          <w:color w:val="000000" w:themeColor="text1"/>
          <w:sz w:val="24"/>
          <w:szCs w:val="24"/>
          <w:highlight w:val="none"/>
          <w14:textFill>
            <w14:solidFill>
              <w14:schemeClr w14:val="tx1"/>
            </w14:solidFill>
          </w14:textFill>
        </w:rPr>
        <w:t xml:space="preserve">Цена Контракта может быть снижена без изменения предусмотренных Контрактом объема работы, качества выполняемой работы и иных условий Контракта. Изменение Цены Контракта должно быть оформлено в виде дополнительного соглашения к настоящему Контракту. </w:t>
      </w:r>
    </w:p>
    <w:p w14:paraId="0E4AD67B">
      <w:pPr>
        <w:ind w:left="-15" w:firstLine="540"/>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Изменение цены Контракта в иных случаях может быть осуществлено по основаниям, предусмотренным ст. 95 Федерального закона № 44-ФЗ и иными законодательными актами Российской Федерации и Республики Дагестан.</w:t>
      </w:r>
    </w:p>
    <w:p w14:paraId="07688C34">
      <w:pPr>
        <w:tabs>
          <w:tab w:val="left" w:pos="1418"/>
        </w:tabs>
        <w:ind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 xml:space="preserve">2.17. Заказчик вправе </w:t>
      </w:r>
      <w:r>
        <w:rPr>
          <w:rFonts w:ascii="Times New Roman" w:hAnsi="Times New Roman" w:eastAsia="Times New Roman" w:cs="Times New Roman"/>
          <w:color w:val="000000" w:themeColor="text1"/>
          <w:sz w:val="24"/>
          <w:szCs w:val="24"/>
          <w:highlight w:val="none"/>
          <w14:textFill>
            <w14:solidFill>
              <w14:schemeClr w14:val="tx1"/>
            </w14:solidFill>
          </w14:textFill>
        </w:rPr>
        <w:t>удержать суммы неисполненных Подрядчиком требований об уплате неустоек (штрафов, пеней), предъявленных Заказчиком в соответствии с настоящим Контрактом, из суммы, подлежащей оплате Подрядчику.</w:t>
      </w:r>
    </w:p>
    <w:p w14:paraId="4BBE6540">
      <w:pPr>
        <w:tabs>
          <w:tab w:val="left" w:pos="1418"/>
        </w:tabs>
        <w:ind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2.18. Оплата осуществляется Заказчиком по безналичному расчёту платёжными поручениями путём перечисления Заказчиком денежных средств на счет Подрядчика.</w:t>
      </w:r>
    </w:p>
    <w:p w14:paraId="0B8394E7">
      <w:pPr>
        <w:widowControl w:val="0"/>
        <w:ind w:left="-15"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2.19. Обязательство Заказчика по оплате перед Подрядчиком считается исполненным надлежащим образом с даты направления заявки на оплату расходов в уполномоченный орган.</w:t>
      </w:r>
    </w:p>
    <w:p w14:paraId="7C7FA2DC">
      <w:pPr>
        <w:widowControl w:val="0"/>
        <w:ind w:left="-15" w:firstLine="567"/>
        <w:jc w:val="center"/>
        <w:rPr>
          <w:rFonts w:ascii="Times New Roman" w:hAnsi="Times New Roman" w:eastAsia="PT Astra Serif" w:cs="Times New Roman"/>
          <w:b/>
          <w:color w:val="000000" w:themeColor="text1"/>
          <w:sz w:val="24"/>
          <w:szCs w:val="24"/>
          <w:highlight w:val="none"/>
          <w14:textFill>
            <w14:solidFill>
              <w14:schemeClr w14:val="tx1"/>
            </w14:solidFill>
          </w14:textFill>
        </w:rPr>
      </w:pPr>
      <w:r>
        <w:rPr>
          <w:rFonts w:ascii="Times New Roman" w:hAnsi="Times New Roman" w:eastAsia="PT Astra Serif" w:cs="Times New Roman"/>
          <w:b/>
          <w:color w:val="000000" w:themeColor="text1"/>
          <w:sz w:val="24"/>
          <w:szCs w:val="24"/>
          <w:highlight w:val="none"/>
          <w14:textFill>
            <w14:solidFill>
              <w14:schemeClr w14:val="tx1"/>
            </w14:solidFill>
          </w14:textFill>
        </w:rPr>
        <w:t>3. Сроки выполнения работ по Контракту.</w:t>
      </w:r>
    </w:p>
    <w:p w14:paraId="78F621B5">
      <w:pPr>
        <w:widowControl w:val="0"/>
        <w:ind w:left="-15"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3.1. Работа, предусмотренная Контрактом, включая ее составные части (этапы), выполняется в сроки, установленные данным разделом, графиком выполнения строительное – монтажных работ (приложение № 1 к Контракту), а сроки и размеры оплаты выполненных в соответствии с Графиком оплаты (за исключением сроков и размеров оплаты выполненных работ в случае досрочного прекращения Контракта) - графиком оплаты выполненных Работ (</w:t>
      </w:r>
      <w:r>
        <w:rPr>
          <w:highlight w:val="none"/>
        </w:rPr>
        <w:fldChar w:fldCharType="begin"/>
      </w:r>
      <w:r>
        <w:rPr>
          <w:highlight w:val="none"/>
        </w:rPr>
        <w:instrText xml:space="preserve"> HYPERLINK \l "gjdgxs" \h </w:instrText>
      </w:r>
      <w:r>
        <w:rPr>
          <w:highlight w:val="none"/>
        </w:rPr>
        <w:fldChar w:fldCharType="separate"/>
      </w:r>
      <w:r>
        <w:rPr>
          <w:rFonts w:ascii="Times New Roman" w:hAnsi="Times New Roman" w:eastAsia="PT Astra Serif" w:cs="Times New Roman"/>
          <w:color w:val="000000" w:themeColor="text1"/>
          <w:sz w:val="24"/>
          <w:szCs w:val="24"/>
          <w:highlight w:val="none"/>
          <w14:textFill>
            <w14:solidFill>
              <w14:schemeClr w14:val="tx1"/>
            </w14:solidFill>
          </w14:textFill>
        </w:rPr>
        <w:t>Приложение</w:t>
      </w:r>
      <w:r>
        <w:rPr>
          <w:rFonts w:ascii="Times New Roman" w:hAnsi="Times New Roman" w:eastAsia="PT Astra Serif" w:cs="Times New Roman"/>
          <w:color w:val="000000" w:themeColor="text1"/>
          <w:sz w:val="24"/>
          <w:szCs w:val="24"/>
          <w:highlight w:val="none"/>
          <w14:textFill>
            <w14:solidFill>
              <w14:schemeClr w14:val="tx1"/>
            </w14:solidFill>
          </w14:textFill>
        </w:rPr>
        <w:fldChar w:fldCharType="end"/>
      </w:r>
      <w:r>
        <w:rPr>
          <w:rFonts w:ascii="Times New Roman" w:hAnsi="Times New Roman" w:eastAsia="PT Astra Serif" w:cs="Times New Roman"/>
          <w:color w:val="000000" w:themeColor="text1"/>
          <w:sz w:val="24"/>
          <w:szCs w:val="24"/>
          <w:highlight w:val="none"/>
          <w14:textFill>
            <w14:solidFill>
              <w14:schemeClr w14:val="tx1"/>
            </w14:solidFill>
          </w14:textFill>
        </w:rPr>
        <w:t xml:space="preserve"> № 2 к Контракту) (далее - График оплаты выполненных Работ).</w:t>
      </w:r>
    </w:p>
    <w:p w14:paraId="7511258A">
      <w:pPr>
        <w:widowControl w:val="0"/>
        <w:ind w:left="-15" w:firstLine="539"/>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График выполнения работ и График оплаты выполненных работ являются неотъемлемой частью Контракта и в совокупности составляют График исполнения Контракта.</w:t>
      </w:r>
    </w:p>
    <w:p w14:paraId="6AD0A9E4">
      <w:pPr>
        <w:widowControl w:val="0"/>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 xml:space="preserve">3.2. Сроки выполнения работ: с момента заключения контракта до «30» ноября 2027 г. </w:t>
      </w:r>
    </w:p>
    <w:p w14:paraId="25844688">
      <w:pPr>
        <w:widowControl w:val="0"/>
        <w:ind w:left="-15"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 xml:space="preserve">3.3. Результатом выполненной работы по контракту, является построенный объект капитального строительства, в отношении которого получено заключение органа государственного строительного надзора о соответствии построенного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заключение федерального государственного экологического надзора в случаях, предусмотренных </w:t>
      </w:r>
      <w:r>
        <w:rPr>
          <w:highlight w:val="none"/>
        </w:rPr>
        <w:fldChar w:fldCharType="begin"/>
      </w:r>
      <w:r>
        <w:rPr>
          <w:highlight w:val="none"/>
        </w:rPr>
        <w:instrText xml:space="preserve"> HYPERLINK "about:blank" \h </w:instrText>
      </w:r>
      <w:r>
        <w:rPr>
          <w:highlight w:val="none"/>
        </w:rPr>
        <w:fldChar w:fldCharType="separate"/>
      </w:r>
      <w:r>
        <w:rPr>
          <w:rFonts w:ascii="Times New Roman" w:hAnsi="Times New Roman" w:eastAsia="PT Astra Serif" w:cs="Times New Roman"/>
          <w:color w:val="000000" w:themeColor="text1"/>
          <w:sz w:val="24"/>
          <w:szCs w:val="24"/>
          <w:highlight w:val="none"/>
          <w14:textFill>
            <w14:solidFill>
              <w14:schemeClr w14:val="tx1"/>
            </w14:solidFill>
          </w14:textFill>
        </w:rPr>
        <w:t>частью 7 статьи 54</w:t>
      </w:r>
      <w:r>
        <w:rPr>
          <w:rFonts w:ascii="Times New Roman" w:hAnsi="Times New Roman" w:eastAsia="PT Astra Serif" w:cs="Times New Roman"/>
          <w:color w:val="000000" w:themeColor="text1"/>
          <w:sz w:val="24"/>
          <w:szCs w:val="24"/>
          <w:highlight w:val="none"/>
          <w14:textFill>
            <w14:solidFill>
              <w14:schemeClr w14:val="tx1"/>
            </w14:solidFill>
          </w14:textFill>
        </w:rPr>
        <w:fldChar w:fldCharType="end"/>
      </w:r>
      <w:r>
        <w:rPr>
          <w:rFonts w:ascii="Times New Roman" w:hAnsi="Times New Roman" w:eastAsia="PT Astra Serif" w:cs="Times New Roman"/>
          <w:color w:val="000000" w:themeColor="text1"/>
          <w:sz w:val="24"/>
          <w:szCs w:val="24"/>
          <w:highlight w:val="none"/>
          <w14:textFill>
            <w14:solidFill>
              <w14:schemeClr w14:val="tx1"/>
            </w14:solidFill>
          </w14:textFill>
        </w:rPr>
        <w:t xml:space="preserve"> Градостроительного кодекса Российской Федерации.</w:t>
      </w:r>
    </w:p>
    <w:p w14:paraId="09D2A96C">
      <w:pPr>
        <w:widowControl w:val="0"/>
        <w:ind w:left="-15"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 xml:space="preserve">3.4. Подрядчик по согласованию с Заказчиком может досрочно сдать выполненную работу (этап работы). Заказчик вправе досрочно принять и оплатить такую работу (этап работы) в соответствии с условиями Контракта. </w:t>
      </w:r>
    </w:p>
    <w:p w14:paraId="43A701D0">
      <w:pPr>
        <w:widowControl w:val="0"/>
        <w:ind w:left="-15"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3.5. Сроки и даты, указанные в пунктах 3.1. и 3.2. настоящего Контракта, а также предусмотренные Графиком выполнения работ (Приложение № 2 к Контракту), являются исходными для определения санкций предусмотренных разделом 7 настоящего контракта в случаях нарушения сроков выполнения Работ.</w:t>
      </w:r>
    </w:p>
    <w:p w14:paraId="373F7A0B">
      <w:pPr>
        <w:widowControl w:val="0"/>
        <w:ind w:left="-15"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p>
    <w:p w14:paraId="64E20667">
      <w:pPr>
        <w:widowControl w:val="0"/>
        <w:ind w:left="-15" w:firstLine="567"/>
        <w:jc w:val="center"/>
        <w:rPr>
          <w:rFonts w:ascii="Times New Roman" w:hAnsi="Times New Roman" w:eastAsia="PT Astra Serif" w:cs="Times New Roman"/>
          <w:b/>
          <w:color w:val="000000" w:themeColor="text1"/>
          <w:sz w:val="24"/>
          <w:szCs w:val="24"/>
          <w:highlight w:val="none"/>
          <w14:textFill>
            <w14:solidFill>
              <w14:schemeClr w14:val="tx1"/>
            </w14:solidFill>
          </w14:textFill>
        </w:rPr>
      </w:pPr>
      <w:r>
        <w:rPr>
          <w:rFonts w:ascii="Times New Roman" w:hAnsi="Times New Roman" w:eastAsia="PT Astra Serif" w:cs="Times New Roman"/>
          <w:b/>
          <w:color w:val="000000" w:themeColor="text1"/>
          <w:sz w:val="24"/>
          <w:szCs w:val="24"/>
          <w:highlight w:val="none"/>
          <w14:textFill>
            <w14:solidFill>
              <w14:schemeClr w14:val="tx1"/>
            </w14:solidFill>
          </w14:textFill>
        </w:rPr>
        <w:t>4. Права и обязанности Сторон.</w:t>
      </w:r>
    </w:p>
    <w:p w14:paraId="25FC1A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color w:val="000000" w:themeColor="text1"/>
          <w:sz w:val="24"/>
          <w:szCs w:val="24"/>
          <w:highlight w:val="none"/>
          <w:lang w:eastAsia="en-US"/>
          <w14:textFill>
            <w14:solidFill>
              <w14:schemeClr w14:val="tx1"/>
            </w14:solidFill>
          </w14:textFill>
        </w:rPr>
      </w:pPr>
      <w:r>
        <w:rPr>
          <w:rFonts w:ascii="Times New Roman" w:hAnsi="Times New Roman" w:cs="Times New Roman"/>
          <w:color w:val="000000" w:themeColor="text1"/>
          <w:sz w:val="24"/>
          <w:szCs w:val="24"/>
          <w:highlight w:val="none"/>
          <w:lang w:eastAsia="en-US"/>
          <w14:textFill>
            <w14:solidFill>
              <w14:schemeClr w14:val="tx1"/>
            </w14:solidFill>
          </w14:textFill>
        </w:rPr>
        <w:t>4.1. Для выполнения работ по настоящему Контракту Подрядчик обязан:</w:t>
      </w:r>
    </w:p>
    <w:p w14:paraId="41EDD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 xml:space="preserve">4.1.1. Принять на себя обязательства выполнить предусмотренные контрактом работы по строительству. </w:t>
      </w:r>
    </w:p>
    <w:p w14:paraId="22EE5AFA">
      <w:pPr>
        <w:pStyle w:val="36"/>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Выполнить работы, указанные в пункте 4.1.1 контракта, в соответствии со следующей документацией, определяющей объем, содержание работ и другие предъявляемые к работам требования, которая является неотъемлемой частью контракта: проектная документация, сметная документация и иные документы, являющиеся неотъемлемой частью контракта.</w:t>
      </w:r>
    </w:p>
    <w:p w14:paraId="616922D3">
      <w:pPr>
        <w:pStyle w:val="36"/>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В течение 3 дней со дня, следующего за днем  получения  от заказчика  проекта  акта  приема-передачи  строительной  площадки,  а также документов,  которые  определены  приложением  к  контракту, являющимся его неотъемлемой  частью,  подписать указанный проект акта приема-передачи либо направить  мотивированный отказ от его подписания с указанием причин такого отказа.</w:t>
      </w:r>
    </w:p>
    <w:p w14:paraId="333485F9">
      <w:pPr>
        <w:pStyle w:val="36"/>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Выполнить работы в сроки, установленные контрактом.</w:t>
      </w:r>
    </w:p>
    <w:p w14:paraId="6DB46098">
      <w:pPr>
        <w:pStyle w:val="36"/>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 xml:space="preserve">Выполнить работы в соответствии с требованиями к строительству, объекта капитального строительства, установленными на дату выдачи представленного для получения разрешения на строительство градостроительного плана земельного участка, разрешенным использованием земельного участка, ограничениями, установленными в соответствии с земельным и иным законодательством Российской Федерации, требованиями технических регламентов. </w:t>
      </w:r>
    </w:p>
    <w:p w14:paraId="07685DC7">
      <w:pPr>
        <w:pStyle w:val="36"/>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 xml:space="preserve">Обеспечить безопасность работ для третьих лиц и окружающей среды, выполнение требований безопасности труда, сохранности объектов культурного наследия. </w:t>
      </w:r>
    </w:p>
    <w:p w14:paraId="1F61B0A2">
      <w:pPr>
        <w:pStyle w:val="36"/>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Обеспечить устранение выявленных недостатков и не приступать к продолжению работ до составления актов об устранении выявленных недостатков.</w:t>
      </w:r>
    </w:p>
    <w:p w14:paraId="636730CF">
      <w:pPr>
        <w:pStyle w:val="36"/>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Не позднее 10-го рабочего дня со дня завершения работ освободить строительную площадку от временных строений и сооружений, строительной техники, а также в соответствии с законодательством Российской Федерации в области обращения с отходами производства и потребления - от строительного мусора и иных отходов.</w:t>
      </w:r>
    </w:p>
    <w:p w14:paraId="29A37024">
      <w:pPr>
        <w:pStyle w:val="36"/>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При расторжении контракта до завершения работ передать заказчику исполнительную документацию, ведение которой осуществляется подрядчиком в соответствии с требованиями законодательства о градостроительной деятельности, а также другие документы, полученные (составленные) подрядчиком в ходе исполнения обязательств по контракту, в течение 10 дней со дня получения от заказчика направленного в порядке, предусмотренном контрактом для направления уведомлений, требования о передаче указанных документов заказчику.</w:t>
      </w:r>
    </w:p>
    <w:p w14:paraId="6689FDBB">
      <w:pPr>
        <w:widowControl w:val="0"/>
        <w:ind w:firstLine="56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 xml:space="preserve">4.1.2. Выполнить работы на Объекте, предусмотренные пунктом 1 настоящего </w:t>
      </w:r>
      <w:r>
        <w:rPr>
          <w:rFonts w:ascii="Times New Roman" w:hAnsi="Times New Roman" w:eastAsia="MS Mincho" w:cs="Times New Roman"/>
          <w:color w:val="000000" w:themeColor="text1"/>
          <w:sz w:val="24"/>
          <w:szCs w:val="24"/>
          <w:highlight w:val="none"/>
          <w14:textFill>
            <w14:solidFill>
              <w14:schemeClr w14:val="tx1"/>
            </w14:solidFill>
          </w14:textFill>
        </w:rPr>
        <w:t>Контракта</w:t>
      </w:r>
      <w:r>
        <w:rPr>
          <w:rFonts w:ascii="Times New Roman" w:hAnsi="Times New Roman" w:cs="Times New Roman"/>
          <w:color w:val="000000" w:themeColor="text1"/>
          <w:sz w:val="24"/>
          <w:szCs w:val="24"/>
          <w:highlight w:val="none"/>
          <w14:textFill>
            <w14:solidFill>
              <w14:schemeClr w14:val="tx1"/>
            </w14:solidFill>
          </w14:textFill>
        </w:rPr>
        <w:t xml:space="preserve">, в соответствии с действующими в РФ СНиП, ГОСТ и утвержденной сметной документацией в сроки, установленные условиями </w:t>
      </w:r>
      <w:r>
        <w:rPr>
          <w:rFonts w:ascii="Times New Roman" w:hAnsi="Times New Roman" w:eastAsia="MS Mincho" w:cs="Times New Roman"/>
          <w:color w:val="000000" w:themeColor="text1"/>
          <w:sz w:val="24"/>
          <w:szCs w:val="24"/>
          <w:highlight w:val="none"/>
          <w14:textFill>
            <w14:solidFill>
              <w14:schemeClr w14:val="tx1"/>
            </w14:solidFill>
          </w14:textFill>
        </w:rPr>
        <w:t>Контракта</w:t>
      </w:r>
      <w:r>
        <w:rPr>
          <w:rFonts w:ascii="Times New Roman" w:hAnsi="Times New Roman" w:cs="Times New Roman"/>
          <w:color w:val="000000" w:themeColor="text1"/>
          <w:sz w:val="24"/>
          <w:szCs w:val="24"/>
          <w:highlight w:val="none"/>
          <w14:textFill>
            <w14:solidFill>
              <w14:schemeClr w14:val="tx1"/>
            </w14:solidFill>
          </w14:textFill>
        </w:rPr>
        <w:t>.</w:t>
      </w:r>
    </w:p>
    <w:p w14:paraId="7B5425D5">
      <w:pPr>
        <w:widowControl w:val="0"/>
        <w:ind w:firstLine="567"/>
        <w:jc w:val="both"/>
        <w:rPr>
          <w:rFonts w:ascii="Times New Roman" w:hAnsi="Times New Roman" w:cs="Times New Roman"/>
          <w:color w:val="000000" w:themeColor="text1"/>
          <w:sz w:val="24"/>
          <w:szCs w:val="24"/>
          <w:highlight w:val="none"/>
          <w:lang w:eastAsia="en-US"/>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 xml:space="preserve">4.1.3. </w:t>
      </w:r>
      <w:r>
        <w:rPr>
          <w:rFonts w:ascii="Times New Roman" w:hAnsi="Times New Roman" w:cs="Times New Roman"/>
          <w:color w:val="000000" w:themeColor="text1"/>
          <w:sz w:val="24"/>
          <w:szCs w:val="24"/>
          <w:highlight w:val="none"/>
          <w:lang w:eastAsia="en-US"/>
          <w14:textFill>
            <w14:solidFill>
              <w14:schemeClr w14:val="tx1"/>
            </w14:solidFill>
          </w14:textFill>
        </w:rPr>
        <w:t>Обеспечить поставку необходимых для строительства или реконструкции материалов, изделий, конструкций и оборудования, их приемку, разгрузку, складирование и хранение.</w:t>
      </w:r>
    </w:p>
    <w:p w14:paraId="315C41CC">
      <w:pPr>
        <w:widowControl w:val="0"/>
        <w:ind w:firstLine="567"/>
        <w:jc w:val="both"/>
        <w:rPr>
          <w:rFonts w:ascii="Times New Roman" w:hAnsi="Times New Roman" w:cs="Times New Roman"/>
          <w:color w:val="000000" w:themeColor="text1"/>
          <w:sz w:val="24"/>
          <w:szCs w:val="24"/>
          <w:highlight w:val="none"/>
          <w:lang w:eastAsia="en-US"/>
          <w14:textFill>
            <w14:solidFill>
              <w14:schemeClr w14:val="tx1"/>
            </w14:solidFill>
          </w14:textFill>
        </w:rPr>
      </w:pPr>
      <w:r>
        <w:rPr>
          <w:rFonts w:ascii="Times New Roman" w:hAnsi="Times New Roman" w:cs="Times New Roman"/>
          <w:color w:val="000000" w:themeColor="text1"/>
          <w:sz w:val="24"/>
          <w:szCs w:val="24"/>
          <w:highlight w:val="none"/>
          <w:lang w:eastAsia="en-US"/>
          <w14:textFill>
            <w14:solidFill>
              <w14:schemeClr w14:val="tx1"/>
            </w14:solidFill>
          </w14:textFill>
        </w:rPr>
        <w:t>4.1.4. Обеспечить наличие на строительной площадке проектной документации, рабочей документации, а также иной технической и разрешительной документации, необходимой для выполнения работ, в том числе общего и специальных журналов работ, а также обеспечить свободный доступ к такой документации представителям заказчика, лицу, осуществляющему государственный строительный надзор. Перечень документации, необходимой для выполнения работ, определяется в контракте.</w:t>
      </w:r>
    </w:p>
    <w:p w14:paraId="2FE26777">
      <w:pPr>
        <w:widowControl w:val="0"/>
        <w:ind w:firstLine="567"/>
        <w:jc w:val="both"/>
        <w:rPr>
          <w:rFonts w:ascii="Times New Roman" w:hAnsi="Times New Roman" w:cs="Times New Roman"/>
          <w:color w:val="000000" w:themeColor="text1"/>
          <w:sz w:val="24"/>
          <w:szCs w:val="24"/>
          <w:highlight w:val="none"/>
          <w:lang w:eastAsia="en-US"/>
          <w14:textFill>
            <w14:solidFill>
              <w14:schemeClr w14:val="tx1"/>
            </w14:solidFill>
          </w14:textFill>
        </w:rPr>
      </w:pPr>
      <w:r>
        <w:rPr>
          <w:rFonts w:ascii="Times New Roman" w:hAnsi="Times New Roman" w:cs="Times New Roman"/>
          <w:color w:val="000000" w:themeColor="text1"/>
          <w:sz w:val="24"/>
          <w:szCs w:val="24"/>
          <w:highlight w:val="none"/>
          <w:lang w:eastAsia="en-US"/>
          <w14:textFill>
            <w14:solidFill>
              <w14:schemeClr w14:val="tx1"/>
            </w14:solidFill>
          </w14:textFill>
        </w:rPr>
        <w:t>4.1.5. Обеспечить представителям заказчика возможность осуществлять контроль за исполнением подрядчиком условий контракта, качеством применяемых при строительстве объекта материалов, изделий, конструкций и оборудования.</w:t>
      </w:r>
    </w:p>
    <w:p w14:paraId="1BDAE757">
      <w:pPr>
        <w:widowControl w:val="0"/>
        <w:ind w:firstLine="567"/>
        <w:jc w:val="both"/>
        <w:rPr>
          <w:rFonts w:ascii="Times New Roman" w:hAnsi="Times New Roman" w:cs="Times New Roman"/>
          <w:color w:val="000000" w:themeColor="text1"/>
          <w:sz w:val="24"/>
          <w:szCs w:val="24"/>
          <w:highlight w:val="none"/>
          <w:lang w:eastAsia="en-US"/>
          <w14:textFill>
            <w14:solidFill>
              <w14:schemeClr w14:val="tx1"/>
            </w14:solidFill>
          </w14:textFill>
        </w:rPr>
      </w:pPr>
      <w:r>
        <w:rPr>
          <w:rFonts w:ascii="Times New Roman" w:hAnsi="Times New Roman" w:cs="Times New Roman"/>
          <w:color w:val="000000" w:themeColor="text1"/>
          <w:sz w:val="24"/>
          <w:szCs w:val="24"/>
          <w:highlight w:val="none"/>
          <w:lang w:eastAsia="en-US"/>
          <w14:textFill>
            <w14:solidFill>
              <w14:schemeClr w14:val="tx1"/>
            </w14:solidFill>
          </w14:textFill>
        </w:rPr>
        <w:t>4.1.6. Информировать заказчика обо всех происшествиях на объекте капитального строительства, в том числе об авариях или о возникновении угрозы аварии на объекте капитального строительства, о несчастных случаях на объекте капитального строительства, повлекших причинение вреда жизни и (или) здоровью работников подрядчика и иных лиц, в течение 24 часов с момента, когда возникновение аварии или несчастного случая либо угроза аварии или несчастного случая стали известны или должны были быть известны подрядчику.</w:t>
      </w:r>
    </w:p>
    <w:p w14:paraId="61F97703">
      <w:pPr>
        <w:widowControl w:val="0"/>
        <w:ind w:firstLine="567"/>
        <w:jc w:val="both"/>
        <w:rPr>
          <w:rFonts w:ascii="Times New Roman" w:hAnsi="Times New Roman" w:cs="Times New Roman"/>
          <w:color w:val="000000" w:themeColor="text1"/>
          <w:sz w:val="24"/>
          <w:szCs w:val="24"/>
          <w:highlight w:val="none"/>
          <w:lang w:eastAsia="en-US"/>
          <w14:textFill>
            <w14:solidFill>
              <w14:schemeClr w14:val="tx1"/>
            </w14:solidFill>
          </w14:textFill>
        </w:rPr>
      </w:pPr>
      <w:r>
        <w:rPr>
          <w:rFonts w:ascii="Times New Roman" w:hAnsi="Times New Roman" w:cs="Times New Roman"/>
          <w:color w:val="000000" w:themeColor="text1"/>
          <w:sz w:val="24"/>
          <w:szCs w:val="24"/>
          <w:highlight w:val="none"/>
          <w:lang w:eastAsia="en-US"/>
          <w14:textFill>
            <w14:solidFill>
              <w14:schemeClr w14:val="tx1"/>
            </w14:solidFill>
          </w14:textFill>
        </w:rPr>
        <w:t>4.1.7. Устранять за свой счет в срок, установленный органом государственного строительного надзора,</w:t>
      </w:r>
      <w:r>
        <w:rPr>
          <w:rFonts w:ascii="Times New Roman" w:hAnsi="Times New Roman" w:cs="Times New Roman"/>
          <w:color w:val="000000" w:themeColor="text1"/>
          <w:sz w:val="24"/>
          <w:szCs w:val="24"/>
          <w:highlight w:val="none"/>
          <w14:textFill>
            <w14:solidFill>
              <w14:schemeClr w14:val="tx1"/>
            </w14:solidFill>
          </w14:textFill>
        </w:rPr>
        <w:t xml:space="preserve"> </w:t>
      </w:r>
      <w:r>
        <w:rPr>
          <w:rFonts w:ascii="Times New Roman" w:hAnsi="Times New Roman" w:cs="Times New Roman"/>
          <w:color w:val="000000" w:themeColor="text1"/>
          <w:sz w:val="24"/>
          <w:szCs w:val="24"/>
          <w:highlight w:val="none"/>
          <w:lang w:eastAsia="en-US"/>
          <w14:textFill>
            <w14:solidFill>
              <w14:schemeClr w14:val="tx1"/>
            </w14:solidFill>
          </w14:textFill>
        </w:rPr>
        <w:t>нарушения, недостатки (дефекты) работ, выявленные таким органом в ходе проверки соответствия построенного объекта капитального строительства требованиям проектной документации и (или) информационной модели,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которые послужили основанием для отказа в выдаче заключения о соответствии и (или) в выдаче заключения федерального государственного экологического надзора (в случаях, предусмотренных законодательством Российской Федерации в области охраны окружающей среды). Устранять за свой счет выявленные в ходе приемки выполненных работ и (или) обнаруженные в пределах предусмотренных контрактом гарантийных сроков на результат работ недостатки (дефекты) работ, возникшие вследствие невыполнения и (или) ненадлежащего выполнения работ подрядчиком и (или) третьими лицами, привлеченными им для выполнения работ, а в случае, если указанные недостатки (дефекты) причинили убытки заказчику и (или) третьим лицам, возместить убытки в полном объеме в соответствии с гражданским законодательством Российской Федерации.</w:t>
      </w:r>
    </w:p>
    <w:p w14:paraId="481B5A5D">
      <w:pPr>
        <w:widowControl w:val="0"/>
        <w:ind w:firstLine="567"/>
        <w:jc w:val="both"/>
        <w:rPr>
          <w:rFonts w:ascii="Times New Roman" w:hAnsi="Times New Roman" w:cs="Times New Roman"/>
          <w:color w:val="000000" w:themeColor="text1"/>
          <w:sz w:val="24"/>
          <w:szCs w:val="24"/>
          <w:highlight w:val="none"/>
          <w:lang w:eastAsia="en-US"/>
          <w14:textFill>
            <w14:solidFill>
              <w14:schemeClr w14:val="tx1"/>
            </w14:solidFill>
          </w14:textFill>
        </w:rPr>
      </w:pPr>
      <w:r>
        <w:rPr>
          <w:rFonts w:ascii="Times New Roman" w:hAnsi="Times New Roman" w:cs="Times New Roman"/>
          <w:color w:val="000000" w:themeColor="text1"/>
          <w:sz w:val="24"/>
          <w:szCs w:val="24"/>
          <w:highlight w:val="none"/>
          <w:lang w:eastAsia="en-US"/>
          <w14:textFill>
            <w14:solidFill>
              <w14:schemeClr w14:val="tx1"/>
            </w14:solidFill>
          </w14:textFill>
        </w:rPr>
        <w:t>4.1.8. Передать заказчику исполнительную документацию на выполненные работы в объеме и составе, необходимом для получения заключения органа государственного строительного надзора о соответствии построенного и (или) реконструированного объекта капитального строительства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(или) заключения федерального государственного экологического надзора (в случаях, предусмотренных законодательством Российской Федерации в области охраны окружающей среды), а также разрешения на ввод объекта в эксплуатацию.</w:t>
      </w:r>
    </w:p>
    <w:p w14:paraId="44322410">
      <w:pPr>
        <w:widowControl w:val="0"/>
        <w:ind w:firstLine="56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4.1.9. Обеспечить:</w:t>
      </w:r>
    </w:p>
    <w:p w14:paraId="4FA26323">
      <w:pPr>
        <w:widowControl w:val="0"/>
        <w:ind w:firstLine="56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  качество выполнения и сдачу работ в установленном порядке.</w:t>
      </w:r>
    </w:p>
    <w:p w14:paraId="6F8D7C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color w:val="000000" w:themeColor="text1"/>
          <w:sz w:val="24"/>
          <w:szCs w:val="24"/>
          <w:highlight w:val="none"/>
          <w:lang w:eastAsia="en-US"/>
          <w14:textFill>
            <w14:solidFill>
              <w14:schemeClr w14:val="tx1"/>
            </w14:solidFill>
          </w14:textFill>
        </w:rPr>
      </w:pPr>
      <w:r>
        <w:rPr>
          <w:rFonts w:ascii="Times New Roman" w:hAnsi="Times New Roman" w:cs="Times New Roman"/>
          <w:color w:val="000000" w:themeColor="text1"/>
          <w:sz w:val="24"/>
          <w:szCs w:val="24"/>
          <w:highlight w:val="none"/>
          <w:lang w:eastAsia="en-US"/>
          <w14:textFill>
            <w14:solidFill>
              <w14:schemeClr w14:val="tx1"/>
            </w14:solidFill>
          </w14:textFill>
        </w:rPr>
        <w:t>- своевременное устранение недостатков и дефектов, выявленных при приемке работ и в течение гарантийного срока эксплуатации объектов;</w:t>
      </w:r>
    </w:p>
    <w:p w14:paraId="2F441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color w:val="000000" w:themeColor="text1"/>
          <w:sz w:val="24"/>
          <w:szCs w:val="24"/>
          <w:highlight w:val="none"/>
          <w:lang w:eastAsia="en-US"/>
          <w14:textFill>
            <w14:solidFill>
              <w14:schemeClr w14:val="tx1"/>
            </w14:solidFill>
          </w14:textFill>
        </w:rPr>
      </w:pPr>
      <w:r>
        <w:rPr>
          <w:rFonts w:ascii="Times New Roman" w:hAnsi="Times New Roman" w:cs="Times New Roman"/>
          <w:color w:val="000000" w:themeColor="text1"/>
          <w:sz w:val="24"/>
          <w:szCs w:val="24"/>
          <w:highlight w:val="none"/>
          <w:lang w:eastAsia="en-US"/>
          <w14:textFill>
            <w14:solidFill>
              <w14:schemeClr w14:val="tx1"/>
            </w14:solidFill>
          </w14:textFill>
        </w:rPr>
        <w:t>- бесперебойное функционирование инженерных систем и оборудования при нормальной эксплуатации объектов в течение гарантийного срока.</w:t>
      </w:r>
    </w:p>
    <w:p w14:paraId="5C44E7B0">
      <w:pPr>
        <w:widowControl w:val="0"/>
        <w:ind w:firstLine="56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4.1.10.</w:t>
      </w:r>
      <w:r>
        <w:rPr>
          <w:rFonts w:ascii="Times New Roman" w:hAnsi="Times New Roman" w:cs="Times New Roman"/>
          <w:color w:val="000000" w:themeColor="text1"/>
          <w:sz w:val="24"/>
          <w:szCs w:val="24"/>
          <w:highlight w:val="none"/>
          <w14:textFill>
            <w14:solidFill>
              <w14:schemeClr w14:val="tx1"/>
            </w14:solidFill>
          </w14:textFill>
        </w:rPr>
        <w:tab/>
      </w:r>
      <w:r>
        <w:rPr>
          <w:rFonts w:ascii="Times New Roman" w:hAnsi="Times New Roman" w:cs="Times New Roman"/>
          <w:color w:val="000000" w:themeColor="text1"/>
          <w:sz w:val="24"/>
          <w:szCs w:val="24"/>
          <w:highlight w:val="none"/>
          <w14:textFill>
            <w14:solidFill>
              <w14:schemeClr w14:val="tx1"/>
            </w14:solidFill>
          </w14:textFill>
        </w:rPr>
        <w:t>До начала производства работ на Объекте представить заказчику для оформления пропусков список персонала, который будет задействован на Объекте с указанием фамилии, имени, отчества и паспортных данных каждого работника.</w:t>
      </w:r>
    </w:p>
    <w:p w14:paraId="543D4744">
      <w:pPr>
        <w:widowControl w:val="0"/>
        <w:ind w:firstLine="56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4.1.11.</w:t>
      </w:r>
      <w:r>
        <w:rPr>
          <w:rFonts w:ascii="Times New Roman" w:hAnsi="Times New Roman" w:cs="Times New Roman"/>
          <w:color w:val="000000" w:themeColor="text1"/>
          <w:sz w:val="24"/>
          <w:szCs w:val="24"/>
          <w:highlight w:val="none"/>
          <w14:textFill>
            <w14:solidFill>
              <w14:schemeClr w14:val="tx1"/>
            </w14:solidFill>
          </w14:textFill>
        </w:rPr>
        <w:tab/>
      </w:r>
      <w:r>
        <w:rPr>
          <w:rFonts w:ascii="Times New Roman" w:hAnsi="Times New Roman" w:cs="Times New Roman"/>
          <w:color w:val="000000" w:themeColor="text1"/>
          <w:sz w:val="24"/>
          <w:szCs w:val="24"/>
          <w:highlight w:val="none"/>
          <w14:textFill>
            <w14:solidFill>
              <w14:schemeClr w14:val="tx1"/>
            </w14:solidFill>
          </w14:textFill>
        </w:rPr>
        <w:t>Осуществить при необходимости временное присоединение всех необходимых коммуникаций, на период выполнения работ на Объекте.</w:t>
      </w:r>
    </w:p>
    <w:p w14:paraId="0686170E">
      <w:pPr>
        <w:widowControl w:val="0"/>
        <w:ind w:firstLine="56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4.1.12.</w:t>
      </w:r>
      <w:r>
        <w:rPr>
          <w:rFonts w:ascii="Times New Roman" w:hAnsi="Times New Roman" w:cs="Times New Roman"/>
          <w:color w:val="000000" w:themeColor="text1"/>
          <w:sz w:val="24"/>
          <w:szCs w:val="24"/>
          <w:highlight w:val="none"/>
          <w14:textFill>
            <w14:solidFill>
              <w14:schemeClr w14:val="tx1"/>
            </w14:solidFill>
          </w14:textFill>
        </w:rPr>
        <w:tab/>
      </w:r>
      <w:r>
        <w:rPr>
          <w:rFonts w:ascii="Times New Roman" w:hAnsi="Times New Roman" w:cs="Times New Roman"/>
          <w:color w:val="000000" w:themeColor="text1"/>
          <w:sz w:val="24"/>
          <w:szCs w:val="24"/>
          <w:highlight w:val="none"/>
          <w14:textFill>
            <w14:solidFill>
              <w14:schemeClr w14:val="tx1"/>
            </w14:solidFill>
          </w14:textFill>
        </w:rPr>
        <w:t>Обеспечить выполнение требований заказчика по соблюдению производственной санитарии, учитывая специфику действующего учреждения, не допускать нарушений общественного порядка, и иных действий вызывающих неудобства для граждан или имущества граждан или других лиц в результате загрязнения, шума или других причин, являющихся следствием применяемых Подрядчиком методов производства работ.</w:t>
      </w:r>
    </w:p>
    <w:p w14:paraId="7A0FE93D">
      <w:pPr>
        <w:widowControl w:val="0"/>
        <w:ind w:firstLine="56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4.1.13.</w:t>
      </w:r>
      <w:r>
        <w:rPr>
          <w:rFonts w:ascii="Times New Roman" w:hAnsi="Times New Roman" w:cs="Times New Roman"/>
          <w:color w:val="000000" w:themeColor="text1"/>
          <w:sz w:val="24"/>
          <w:szCs w:val="24"/>
          <w:highlight w:val="none"/>
          <w14:textFill>
            <w14:solidFill>
              <w14:schemeClr w14:val="tx1"/>
            </w14:solidFill>
          </w14:textFill>
        </w:rPr>
        <w:tab/>
      </w:r>
      <w:r>
        <w:rPr>
          <w:rFonts w:ascii="Times New Roman" w:hAnsi="Times New Roman" w:cs="Times New Roman"/>
          <w:color w:val="000000" w:themeColor="text1"/>
          <w:sz w:val="24"/>
          <w:szCs w:val="24"/>
          <w:highlight w:val="none"/>
          <w14:textFill>
            <w14:solidFill>
              <w14:schemeClr w14:val="tx1"/>
            </w14:solidFill>
          </w14:textFill>
        </w:rPr>
        <w:t>В случае выявления недостатков и дефектов,  подрядчик обязан в течение двух дней дня с момента выявления  устранить такие недостатки и дефекты. При этом Подрядчик  сам несет затраты на расходуемые при этом материалы.</w:t>
      </w:r>
    </w:p>
    <w:p w14:paraId="6DBA3C4D">
      <w:pPr>
        <w:widowControl w:val="0"/>
        <w:ind w:firstLine="56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При этом применяемые при выполнении работ Объекта материалы, изделия, конструкции и оборудование должны иметь сертификаты соответствия, технические паспорта и другие документы, удостоверяющие их качество (далее – сертификаты). Копии этих документов должны быть предоставлены заказчику за 1 (один) день до начала производства Работ, выполняемых с использованием этих материалов, изделий, конструкций и оборудования. При этом з</w:t>
      </w:r>
      <w:r>
        <w:rPr>
          <w:rFonts w:ascii="Times New Roman" w:hAnsi="Times New Roman" w:cs="Times New Roman"/>
          <w:color w:val="000000" w:themeColor="text1"/>
          <w:spacing w:val="-5"/>
          <w:sz w:val="24"/>
          <w:szCs w:val="24"/>
          <w:highlight w:val="none"/>
          <w14:textFill>
            <w14:solidFill>
              <w14:schemeClr w14:val="tx1"/>
            </w14:solidFill>
          </w14:textFill>
        </w:rPr>
        <w:t>аказчик</w:t>
      </w:r>
      <w:r>
        <w:rPr>
          <w:rFonts w:ascii="Times New Roman" w:hAnsi="Times New Roman" w:cs="Times New Roman"/>
          <w:color w:val="000000" w:themeColor="text1"/>
          <w:sz w:val="24"/>
          <w:szCs w:val="24"/>
          <w:highlight w:val="none"/>
          <w14:textFill>
            <w14:solidFill>
              <w14:schemeClr w14:val="tx1"/>
            </w14:solidFill>
          </w14:textFill>
        </w:rPr>
        <w:t xml:space="preserve"> признает сертификаты, выданные уполномоченными на то российскими государственными организациями по сертификации и испытанию материалов и оборудования.</w:t>
      </w:r>
    </w:p>
    <w:p w14:paraId="4CCE721E">
      <w:pPr>
        <w:widowControl w:val="0"/>
        <w:ind w:firstLine="56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4.1.14.</w:t>
      </w:r>
      <w:r>
        <w:rPr>
          <w:rFonts w:ascii="Times New Roman" w:hAnsi="Times New Roman" w:cs="Times New Roman"/>
          <w:color w:val="000000" w:themeColor="text1"/>
          <w:sz w:val="24"/>
          <w:szCs w:val="24"/>
          <w:highlight w:val="none"/>
          <w14:textFill>
            <w14:solidFill>
              <w14:schemeClr w14:val="tx1"/>
            </w14:solidFill>
          </w14:textFill>
        </w:rPr>
        <w:tab/>
      </w:r>
      <w:r>
        <w:rPr>
          <w:rFonts w:ascii="Times New Roman" w:hAnsi="Times New Roman" w:cs="Times New Roman"/>
          <w:color w:val="000000" w:themeColor="text1"/>
          <w:sz w:val="24"/>
          <w:szCs w:val="24"/>
          <w:highlight w:val="none"/>
          <w14:textFill>
            <w14:solidFill>
              <w14:schemeClr w14:val="tx1"/>
            </w14:solidFill>
          </w14:textFill>
        </w:rPr>
        <w:t>Обеспечить выполнение на Объекте мероприятий по охране труда и технике безопасности, рациональному использованию территории, охране окружающей среды, а также установить информационные щиты на период выполнения работ в соответствии с условиями настоящего Контракта и требованиями СНиП.</w:t>
      </w:r>
    </w:p>
    <w:p w14:paraId="5B26B568">
      <w:pPr>
        <w:widowControl w:val="0"/>
        <w:ind w:firstLine="56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4.1.15.</w:t>
      </w:r>
      <w:r>
        <w:rPr>
          <w:rFonts w:ascii="Times New Roman" w:hAnsi="Times New Roman" w:cs="Times New Roman"/>
          <w:color w:val="000000" w:themeColor="text1"/>
          <w:sz w:val="24"/>
          <w:szCs w:val="24"/>
          <w:highlight w:val="none"/>
          <w14:textFill>
            <w14:solidFill>
              <w14:schemeClr w14:val="tx1"/>
            </w14:solidFill>
          </w14:textFill>
        </w:rPr>
        <w:tab/>
      </w:r>
      <w:r>
        <w:rPr>
          <w:rFonts w:ascii="Times New Roman" w:hAnsi="Times New Roman" w:cs="Times New Roman"/>
          <w:color w:val="000000" w:themeColor="text1"/>
          <w:sz w:val="24"/>
          <w:szCs w:val="24"/>
          <w:highlight w:val="none"/>
          <w14:textFill>
            <w14:solidFill>
              <w14:schemeClr w14:val="tx1"/>
            </w14:solidFill>
          </w14:textFill>
        </w:rPr>
        <w:t>Обеспечить изоляцию всех шумопроизводящих, мешающих нормальной деятельности действующего учреждения работ, связанных с производством в рабочее время.</w:t>
      </w:r>
    </w:p>
    <w:p w14:paraId="3C2DADFE">
      <w:pPr>
        <w:widowControl w:val="0"/>
        <w:ind w:firstLine="56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4.1.16.</w:t>
      </w:r>
      <w:r>
        <w:rPr>
          <w:rFonts w:ascii="Times New Roman" w:hAnsi="Times New Roman" w:cs="Times New Roman"/>
          <w:color w:val="000000" w:themeColor="text1"/>
          <w:sz w:val="24"/>
          <w:szCs w:val="24"/>
          <w:highlight w:val="none"/>
          <w14:textFill>
            <w14:solidFill>
              <w14:schemeClr w14:val="tx1"/>
            </w14:solidFill>
          </w14:textFill>
        </w:rPr>
        <w:tab/>
      </w:r>
      <w:r>
        <w:rPr>
          <w:rFonts w:ascii="Times New Roman" w:hAnsi="Times New Roman" w:cs="Times New Roman"/>
          <w:color w:val="000000" w:themeColor="text1"/>
          <w:sz w:val="24"/>
          <w:szCs w:val="24"/>
          <w:highlight w:val="none"/>
          <w14:textFill>
            <w14:solidFill>
              <w14:schemeClr w14:val="tx1"/>
            </w14:solidFill>
          </w14:textFill>
        </w:rPr>
        <w:t>Обеспечить содержание в чистоте и уборку Объекта и прилегающей территории с соблюдением норм технической безопасности, пожарной и производственной санитарии, а также чистоту въезжающего и выезжающего строительного транспорта.</w:t>
      </w:r>
    </w:p>
    <w:p w14:paraId="5A0BBB0E">
      <w:pPr>
        <w:widowControl w:val="0"/>
        <w:ind w:firstLine="56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4.1.17.</w:t>
      </w:r>
      <w:r>
        <w:rPr>
          <w:rFonts w:ascii="Times New Roman" w:hAnsi="Times New Roman" w:cs="Times New Roman"/>
          <w:color w:val="000000" w:themeColor="text1"/>
          <w:sz w:val="24"/>
          <w:szCs w:val="24"/>
          <w:highlight w:val="none"/>
          <w14:textFill>
            <w14:solidFill>
              <w14:schemeClr w14:val="tx1"/>
            </w14:solidFill>
          </w14:textFill>
        </w:rPr>
        <w:tab/>
      </w:r>
      <w:r>
        <w:rPr>
          <w:rFonts w:ascii="Times New Roman" w:hAnsi="Times New Roman" w:cs="Times New Roman"/>
          <w:color w:val="000000" w:themeColor="text1"/>
          <w:sz w:val="24"/>
          <w:szCs w:val="24"/>
          <w:highlight w:val="none"/>
          <w14:textFill>
            <w14:solidFill>
              <w14:schemeClr w14:val="tx1"/>
            </w14:solidFill>
          </w14:textFill>
        </w:rPr>
        <w:t>Немедленно известить Заказчика и до получения от него указаний приостановить работы при обнаружении:</w:t>
      </w:r>
    </w:p>
    <w:p w14:paraId="22E2C9F3">
      <w:pPr>
        <w:widowControl w:val="0"/>
        <w:ind w:firstLine="56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 возможных неблагоприятных для Заказчика последствий выполнения его указаний о способе исполнения работ;</w:t>
      </w:r>
    </w:p>
    <w:p w14:paraId="2CDF9C87">
      <w:pPr>
        <w:widowControl w:val="0"/>
        <w:ind w:firstLine="56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 иных, не зависящих от Подрядчика обстоятельств, угрожающих годности или прочности результатов выполняемой работы либо создающих невозможность ее завершения в срок.</w:t>
      </w:r>
    </w:p>
    <w:p w14:paraId="24DDD405">
      <w:pPr>
        <w:widowControl w:val="0"/>
        <w:ind w:firstLine="56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4.1.18. Соблюдать правила использования иностранной рабочей силы, устанавливаемые законодательством и правовыми актами Российской Федерации. Персонал Подрядчика допускается на территорию Объекта с учетом графика работы, согласованного с представителями Заказчика.</w:t>
      </w:r>
    </w:p>
    <w:p w14:paraId="77166509">
      <w:pPr>
        <w:widowControl w:val="0"/>
        <w:ind w:firstLine="56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4.1.19.</w:t>
      </w:r>
      <w:r>
        <w:rPr>
          <w:rFonts w:ascii="Times New Roman" w:hAnsi="Times New Roman" w:cs="Times New Roman"/>
          <w:color w:val="000000" w:themeColor="text1"/>
          <w:sz w:val="24"/>
          <w:szCs w:val="24"/>
          <w:highlight w:val="none"/>
          <w14:textFill>
            <w14:solidFill>
              <w14:schemeClr w14:val="tx1"/>
            </w14:solidFill>
          </w14:textFill>
        </w:rPr>
        <w:tab/>
      </w:r>
      <w:r>
        <w:rPr>
          <w:rFonts w:ascii="Times New Roman" w:hAnsi="Times New Roman" w:cs="Times New Roman"/>
          <w:color w:val="000000" w:themeColor="text1"/>
          <w:sz w:val="24"/>
          <w:szCs w:val="24"/>
          <w:highlight w:val="none"/>
          <w14:textFill>
            <w14:solidFill>
              <w14:schemeClr w14:val="tx1"/>
            </w14:solidFill>
          </w14:textFill>
        </w:rPr>
        <w:t xml:space="preserve">Обеспечивать выполнение работ в пределах цены, указанной в п.2.1. настоящего </w:t>
      </w:r>
      <w:r>
        <w:rPr>
          <w:rFonts w:ascii="Times New Roman" w:hAnsi="Times New Roman" w:eastAsia="MS Mincho" w:cs="Times New Roman"/>
          <w:color w:val="000000" w:themeColor="text1"/>
          <w:sz w:val="24"/>
          <w:szCs w:val="24"/>
          <w:highlight w:val="none"/>
          <w14:textFill>
            <w14:solidFill>
              <w14:schemeClr w14:val="tx1"/>
            </w14:solidFill>
          </w14:textFill>
        </w:rPr>
        <w:t>контракта</w:t>
      </w:r>
      <w:r>
        <w:rPr>
          <w:rFonts w:ascii="Times New Roman" w:hAnsi="Times New Roman" w:cs="Times New Roman"/>
          <w:color w:val="000000" w:themeColor="text1"/>
          <w:sz w:val="24"/>
          <w:szCs w:val="24"/>
          <w:highlight w:val="none"/>
          <w14:textFill>
            <w14:solidFill>
              <w14:schemeClr w14:val="tx1"/>
            </w14:solidFill>
          </w14:textFill>
        </w:rPr>
        <w:t xml:space="preserve">. </w:t>
      </w:r>
    </w:p>
    <w:p w14:paraId="712C2BF7">
      <w:pPr>
        <w:widowControl w:val="0"/>
        <w:ind w:firstLine="56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4.1.20. При производстве работ, в помещениях с наличием загромождающих предметов, Подрядчик своими силами осуществляет перемещение предметов, затрудняющих производство работ с обеспечением при этом полную сохранность этих предметов. При производстве работ нужно учесть стесненность лестничных маршей, недопустимость прекращения основной деятельности учреждения заказчика.</w:t>
      </w:r>
    </w:p>
    <w:p w14:paraId="69E19268">
      <w:pPr>
        <w:widowControl w:val="0"/>
        <w:ind w:firstLine="56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 xml:space="preserve">4.1.21. Производить уборку помещений и прилегающей территории ежедневно по окончании работ и по мере загрязнения. </w:t>
      </w:r>
    </w:p>
    <w:p w14:paraId="0AC1959D">
      <w:pPr>
        <w:widowControl w:val="0"/>
        <w:ind w:firstLine="56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 xml:space="preserve">4.1.22. Выполнить в полном объеме все свои обязательства, предусмотренные в других пунктах настоящего </w:t>
      </w:r>
      <w:r>
        <w:rPr>
          <w:rFonts w:ascii="Times New Roman" w:hAnsi="Times New Roman" w:eastAsia="MS Mincho" w:cs="Times New Roman"/>
          <w:color w:val="000000" w:themeColor="text1"/>
          <w:sz w:val="24"/>
          <w:szCs w:val="24"/>
          <w:highlight w:val="none"/>
          <w14:textFill>
            <w14:solidFill>
              <w14:schemeClr w14:val="tx1"/>
            </w14:solidFill>
          </w14:textFill>
        </w:rPr>
        <w:t>Контракта</w:t>
      </w:r>
      <w:r>
        <w:rPr>
          <w:rFonts w:ascii="Times New Roman" w:hAnsi="Times New Roman" w:cs="Times New Roman"/>
          <w:color w:val="000000" w:themeColor="text1"/>
          <w:sz w:val="24"/>
          <w:szCs w:val="24"/>
          <w:highlight w:val="none"/>
          <w14:textFill>
            <w14:solidFill>
              <w14:schemeClr w14:val="tx1"/>
            </w14:solidFill>
          </w14:textFill>
        </w:rPr>
        <w:t>.</w:t>
      </w:r>
    </w:p>
    <w:p w14:paraId="0A9063FD">
      <w:pPr>
        <w:widowControl w:val="0"/>
        <w:ind w:firstLine="56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4.2. Условия о правах подрядчика:</w:t>
      </w:r>
    </w:p>
    <w:p w14:paraId="7D621C04">
      <w:pPr>
        <w:tabs>
          <w:tab w:val="left" w:pos="540"/>
          <w:tab w:val="left" w:pos="1080"/>
        </w:tabs>
        <w:ind w:firstLine="56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 xml:space="preserve">4.2.1. </w:t>
      </w:r>
      <w:r>
        <w:rPr>
          <w:rFonts w:ascii="Times New Roman" w:hAnsi="Times New Roman" w:cs="Times New Roman"/>
          <w:color w:val="000000" w:themeColor="text1"/>
          <w:sz w:val="24"/>
          <w:szCs w:val="24"/>
          <w:highlight w:val="none"/>
          <w14:textFill>
            <w14:solidFill>
              <w14:schemeClr w14:val="tx1"/>
            </w14:solidFill>
          </w14:textFill>
        </w:rPr>
        <w:tab/>
      </w:r>
      <w:r>
        <w:rPr>
          <w:rFonts w:ascii="Times New Roman" w:hAnsi="Times New Roman" w:cs="Times New Roman"/>
          <w:color w:val="000000" w:themeColor="text1"/>
          <w:sz w:val="24"/>
          <w:szCs w:val="24"/>
          <w:highlight w:val="none"/>
          <w14:textFill>
            <w14:solidFill>
              <w14:schemeClr w14:val="tx1"/>
            </w14:solidFill>
          </w14:textFill>
        </w:rPr>
        <w:t>Подрядчик вправе завершить выполнение работ в более короткий срок по согласованию с Заказчиком.</w:t>
      </w:r>
    </w:p>
    <w:p w14:paraId="4C49A6D8">
      <w:pPr>
        <w:tabs>
          <w:tab w:val="left" w:pos="540"/>
          <w:tab w:val="left" w:pos="1080"/>
        </w:tabs>
        <w:ind w:firstLine="56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4.3. Подрядчик  вправе привлечь к исполнению контракта субподрядчиков. В соответствии с постановлением Правительства РФ от 04.09.2013 г. № 775 «Об установлении размера начальной (максимальной) цены контракта при осуществлении закупки товара, работы, услуги, при превышении которой в контракте устанавливается обязанность поставщика (подрядчика, исполнителя) предоставлять заказчику дополнительную информацию». Предоставить Заказчику информацию о всех субподрядчиках, заключивших договор или договоры с Подрядчиком, цена которого или общая цена которых составляет более чем 10 (десять) процентов цены Контракта. Данная информация должна быть предоставлена Подрядчиком в течение 10 (десяти) дней со дня заключения им договора с субподрядчиком. В случае просрочки исполнения данной обязанности Подрядчик несет ответственность, предусмотренную пунктом 7.19 Контракта.</w:t>
      </w:r>
    </w:p>
    <w:p w14:paraId="445FEF48">
      <w:pPr>
        <w:tabs>
          <w:tab w:val="left" w:pos="540"/>
          <w:tab w:val="left" w:pos="1080"/>
        </w:tabs>
        <w:ind w:firstLine="56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4.3.1. В течение 3 дней с даты подписания контракта определить виды и объемы работ, предусмотренные Контрактом, которые он обязан выполнить самостоятельно, без привлечения других лиц к исполнению своих обязательств по Контракту с учетом требований, установленных постановлением Правительства Российской Федерации от 15 мая 2017 г. N 570 "Об установлении видов и объемов работ по строительству, реконструкции объектов капитального строительства, которые подрядчик обязан выполнить самостоятельно без привлечения других лиц к исполнению своих обязательств по государственному и (или) муниципальному контрактам, и о внесении изменений в Правила определения размера штрафа, начисляемого в случае ненадлежащего исполнения заказчиком,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w:t>
      </w:r>
    </w:p>
    <w:p w14:paraId="5845C30A">
      <w:pPr>
        <w:tabs>
          <w:tab w:val="left" w:pos="142"/>
        </w:tabs>
        <w:autoSpaceDE w:val="0"/>
        <w:autoSpaceDN w:val="0"/>
        <w:adjustRightInd w:val="0"/>
        <w:spacing w:after="160" w:line="259" w:lineRule="auto"/>
        <w:ind w:firstLine="709"/>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4.4.</w:t>
      </w:r>
      <w:r>
        <w:rPr>
          <w:rFonts w:ascii="Times New Roman" w:hAnsi="Times New Roman" w:cs="Times New Roman"/>
          <w:color w:val="000000" w:themeColor="text1"/>
          <w:sz w:val="24"/>
          <w:szCs w:val="24"/>
          <w:highlight w:val="none"/>
          <w:lang w:eastAsia="en-US"/>
          <w14:textFill>
            <w14:solidFill>
              <w14:schemeClr w14:val="tx1"/>
            </w14:solidFill>
          </w14:textFill>
        </w:rPr>
        <w:t xml:space="preserve">  В</w:t>
      </w:r>
      <w:r>
        <w:rPr>
          <w:rFonts w:ascii="Times New Roman" w:hAnsi="Times New Roman" w:cs="Times New Roman"/>
          <w:color w:val="000000" w:themeColor="text1"/>
          <w:sz w:val="24"/>
          <w:szCs w:val="24"/>
          <w:highlight w:val="none"/>
          <w:u w:val="single"/>
          <w:lang w:eastAsia="en-US"/>
          <w14:textFill>
            <w14:solidFill>
              <w14:schemeClr w14:val="tx1"/>
            </w14:solidFill>
          </w14:textFill>
        </w:rPr>
        <w:t xml:space="preserve"> течение 3 календарных дней со дня заключения Контракта </w:t>
      </w:r>
      <w:r>
        <w:rPr>
          <w:rFonts w:ascii="Times New Roman" w:hAnsi="Times New Roman" w:cs="Times New Roman"/>
          <w:color w:val="000000" w:themeColor="text1"/>
          <w:sz w:val="24"/>
          <w:szCs w:val="24"/>
          <w:highlight w:val="none"/>
          <w14:textFill>
            <w14:solidFill>
              <w14:schemeClr w14:val="tx1"/>
            </w14:solidFill>
          </w14:textFill>
        </w:rPr>
        <w:t>предоставить документ о назначении ответственного представителя по настоящему Контракту с указанием его контактных данных.</w:t>
      </w:r>
    </w:p>
    <w:p w14:paraId="3CF74081">
      <w:pPr>
        <w:pStyle w:val="13"/>
        <w:ind w:firstLine="56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4.5. Подрядчик обязан привлечь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в размере, составляющем 30% от цены контракта в соответствии с Постановлением Правительства РФ от 23.12.2016г. №1466 «Об утверждении типовых условий контрактов, предусматривающих привлечение к исполнению контрактов субподрядчиков соисполнителей из числа субъектов малого предпринимательства, социально ориентированных некоммерческих организаций».</w:t>
      </w:r>
    </w:p>
    <w:p w14:paraId="07784869">
      <w:pPr>
        <w:pStyle w:val="13"/>
        <w:ind w:firstLine="56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4.5.1. В случае если установлено требование к Подрядчику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в объеме не менее 5% от цены контракта, подрядчик обязан:</w:t>
      </w:r>
    </w:p>
    <w:p w14:paraId="4A6D9797">
      <w:pPr>
        <w:pStyle w:val="13"/>
        <w:ind w:firstLine="56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В срок не более 5 рабочих дней со дня заключения договора с субподрядчиком, соисполнителем представить заказчику:</w:t>
      </w:r>
    </w:p>
    <w:p w14:paraId="314B1039">
      <w:pPr>
        <w:pStyle w:val="13"/>
        <w:ind w:firstLine="56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а) декларацию о принадлежности субподрядчика, соисполнителя к субъектам малого предпринимательства, социально ориентированной некоммерческой организации, составленную в простой письменной форме, подписанную руководителем (иным уполномоченным лицом) субъекта малого предпринимательства, социально ориентированной некоммерческой организации и заверенную печатью (при наличии печати);</w:t>
      </w:r>
    </w:p>
    <w:p w14:paraId="35A6E5D9">
      <w:pPr>
        <w:pStyle w:val="13"/>
        <w:ind w:firstLine="56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б) копию договора (договоров), заключенного с субподрядчиком, соисполнителем, заверенную поставщиком (подрядчиком, исполнителем).</w:t>
      </w:r>
    </w:p>
    <w:p w14:paraId="703EB98F">
      <w:pPr>
        <w:pStyle w:val="13"/>
        <w:ind w:firstLine="56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4.5.2. В случае замены субподрядчика, соисполнителя на этапе исполнения контракта на другого субподрядчика, соисполнителя представлять заказчику документы, указанные в пункте 6.2. настоящего раздела, в течение 5 дней со дня заключения договора с новым субподрядчиком, соисполнителем.</w:t>
      </w:r>
    </w:p>
    <w:p w14:paraId="29DF02C9">
      <w:pPr>
        <w:pStyle w:val="13"/>
        <w:ind w:firstLine="56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4.5.3. В течение 10 рабочих дней со дня оплаты поставщиком (подрядчиком, исполнителем) выполненных обязательств по договору с субподрядчиком, соисполнителем представлять заказчику следующие документы:</w:t>
      </w:r>
    </w:p>
    <w:p w14:paraId="2EF8DE50">
      <w:pPr>
        <w:pStyle w:val="13"/>
        <w:ind w:firstLine="56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а) копии документов о приемке поставленного товара, выполненной работы, оказанной услуги, которые являются предметом договора, заключенного между поставщиком (подрядчиком, исполнителем) и привлеченным им субподрядчиком, соисполнителем;</w:t>
      </w:r>
    </w:p>
    <w:p w14:paraId="60F2496D">
      <w:pPr>
        <w:pStyle w:val="13"/>
        <w:ind w:firstLine="56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б) копии платежных поручений, подтверждающих перечисление денежных средств поставщиком (подрядчиком, исполнителем) субподрядчику, соисполнителю, - в случае если договором, заключенным между поставщиком (подрядчиком, исполнителем) и привлеченным им субподрядчиком, соисполнителем, предусмотрена оплата выполненных обязательств до срока оплаты поставленных товаров, выполненных работ, оказанных услуг, предусмотренного контрактом, заключенным с заказчиком (в ином случае указанный документ представляется заказчику дополнительно в течение 5 дней со дня оплаты поставщиком (подрядчиком, исполнителем) обязательств, выполненных субподрядчиком, соисполнителем).</w:t>
      </w:r>
    </w:p>
    <w:p w14:paraId="4FCBA19F">
      <w:pPr>
        <w:pStyle w:val="13"/>
        <w:ind w:firstLine="56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4.5.4. Оплачивать поставленные субподрядчиком, соисполнителем товары, выполненные работы (ее результаты), оказанные услуги, отдельные этапы исполнения договора, заключенного с таким субподрядчиком, соисполнителем, в течение 7 рабочих дней с даты подписания поставщиком (подрядчиком, исполнителем) документа о приемке товара, выполненной работы (ее результатов), оказанной услуги, отдельных этапов исполнения договора.</w:t>
      </w:r>
    </w:p>
    <w:p w14:paraId="155408A3">
      <w:pPr>
        <w:pStyle w:val="13"/>
        <w:ind w:firstLine="56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4.5.5. Подрядчик несет гражданско-правовую ответственность перед заказчиком за неисполнение или ненадлежащее исполнение условия о привлечении к исполнению контрактов субподрядчиков, соисполнителей, в том числе:</w:t>
      </w:r>
    </w:p>
    <w:p w14:paraId="60D6F2A1">
      <w:pPr>
        <w:pStyle w:val="13"/>
        <w:ind w:firstLine="56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а) за непредставление документов, указанных в пунктах 6.2 – 6.4 настоящего раздела, содержащих недостоверные сведения, либо их непредставление или представление таких документов с нарушением установленных сроков;</w:t>
      </w:r>
    </w:p>
    <w:p w14:paraId="2A34EF24">
      <w:pPr>
        <w:pStyle w:val="13"/>
        <w:ind w:firstLine="56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б) за не привлечение субподрядчиков, соисполнителей в объеме, установленном в контракте.</w:t>
      </w:r>
    </w:p>
    <w:p w14:paraId="2F9F3B81">
      <w:pPr>
        <w:pStyle w:val="13"/>
        <w:ind w:firstLine="56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4.5.6. Подрядчик имеет право в случае неисполнения или ненадлежащего исполнения субподрядчиком, соисполнителем обязательств, предусмотренных договором, заключенным с поставщиком (подрядчиком, исполнителем), осуществлять замену субподрядчика, соисполнителя, с которым ранее был заключен договор, на другого субподрядчика, соисполнителя.</w:t>
      </w:r>
    </w:p>
    <w:p w14:paraId="58292FD6">
      <w:pPr>
        <w:tabs>
          <w:tab w:val="left" w:pos="0"/>
        </w:tabs>
        <w:ind w:firstLine="56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 Ответственность за соответствие всех привлекаемых соисполнителей требованиям, установленным конкурсной документацией к участникам закупок, в том числе наличия у них разрешающих документов, несет участник закупки</w:t>
      </w:r>
    </w:p>
    <w:p w14:paraId="73A12487">
      <w:pPr>
        <w:tabs>
          <w:tab w:val="left" w:pos="0"/>
        </w:tabs>
        <w:ind w:firstLine="56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4.5.7. Обращаться к заказчику в порядке, предусмотренном контрактом для направления уведомлений, с уведомлениями, обращениями, требованиями, предложениями и иными сообщениями, связанными с исполнением обязательств сторон по контракту.</w:t>
      </w:r>
    </w:p>
    <w:p w14:paraId="00F6091E">
      <w:pPr>
        <w:tabs>
          <w:tab w:val="left" w:pos="540"/>
          <w:tab w:val="left" w:pos="1080"/>
        </w:tabs>
        <w:ind w:firstLine="56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4.5.8. Требовать от заказчика надлежащего и своевременного выполнения обязательств, предусмотренных контрактом.</w:t>
      </w:r>
    </w:p>
    <w:p w14:paraId="4495E01A">
      <w:pPr>
        <w:tabs>
          <w:tab w:val="left" w:pos="540"/>
          <w:tab w:val="left" w:pos="1080"/>
        </w:tabs>
        <w:ind w:firstLine="56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4.5.9.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требовать уплаты неустоек (штрафов, пеней).</w:t>
      </w:r>
    </w:p>
    <w:p w14:paraId="68807F61">
      <w:pPr>
        <w:tabs>
          <w:tab w:val="left" w:pos="540"/>
          <w:tab w:val="left" w:pos="1080"/>
        </w:tabs>
        <w:ind w:firstLine="567"/>
        <w:jc w:val="both"/>
        <w:rPr>
          <w:rFonts w:ascii="Times New Roman" w:hAnsi="Times New Roman" w:cs="Times New Roman"/>
          <w:color w:val="000000" w:themeColor="text1"/>
          <w:sz w:val="24"/>
          <w:szCs w:val="24"/>
          <w:highlight w:val="none"/>
          <w14:textFill>
            <w14:solidFill>
              <w14:schemeClr w14:val="tx1"/>
            </w14:solidFill>
          </w14:textFill>
        </w:rPr>
      </w:pPr>
    </w:p>
    <w:p w14:paraId="4FCF93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color w:val="000000" w:themeColor="text1"/>
          <w:sz w:val="24"/>
          <w:szCs w:val="24"/>
          <w:highlight w:val="none"/>
          <w:lang w:eastAsia="en-US"/>
          <w14:textFill>
            <w14:solidFill>
              <w14:schemeClr w14:val="tx1"/>
            </w14:solidFill>
          </w14:textFill>
        </w:rPr>
      </w:pPr>
      <w:r>
        <w:rPr>
          <w:rFonts w:ascii="Times New Roman" w:hAnsi="Times New Roman" w:cs="Times New Roman"/>
          <w:color w:val="000000" w:themeColor="text1"/>
          <w:sz w:val="24"/>
          <w:szCs w:val="24"/>
          <w:highlight w:val="none"/>
          <w:lang w:eastAsia="en-US"/>
          <w14:textFill>
            <w14:solidFill>
              <w14:schemeClr w14:val="tx1"/>
            </w14:solidFill>
          </w14:textFill>
        </w:rPr>
        <w:t>4.6. Для реализации настоящего Контракта Заказчик обязан:</w:t>
      </w:r>
      <w:r>
        <w:rPr>
          <w:rFonts w:ascii="Times New Roman" w:hAnsi="Times New Roman" w:cs="Times New Roman"/>
          <w:color w:val="000000" w:themeColor="text1"/>
          <w:sz w:val="24"/>
          <w:szCs w:val="24"/>
          <w:highlight w:val="none"/>
          <w:lang w:eastAsia="en-US"/>
          <w14:textFill>
            <w14:solidFill>
              <w14:schemeClr w14:val="tx1"/>
            </w14:solidFill>
          </w14:textFill>
        </w:rPr>
        <w:tab/>
      </w:r>
    </w:p>
    <w:p w14:paraId="085A6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color w:val="000000" w:themeColor="text1"/>
          <w:sz w:val="24"/>
          <w:szCs w:val="24"/>
          <w:highlight w:val="none"/>
          <w:lang w:eastAsia="en-US"/>
          <w14:textFill>
            <w14:solidFill>
              <w14:schemeClr w14:val="tx1"/>
            </w14:solidFill>
          </w14:textFill>
        </w:rPr>
      </w:pPr>
    </w:p>
    <w:p w14:paraId="2E76AF1D">
      <w:pPr>
        <w:widowControl w:val="0"/>
        <w:tabs>
          <w:tab w:val="left" w:pos="916"/>
          <w:tab w:val="left" w:pos="1080"/>
          <w:tab w:val="left" w:pos="1260"/>
        </w:tabs>
        <w:ind w:firstLine="56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4.6.1.</w:t>
      </w:r>
      <w:r>
        <w:rPr>
          <w:rFonts w:ascii="Times New Roman" w:hAnsi="Times New Roman" w:cs="Times New Roman"/>
          <w:color w:val="000000" w:themeColor="text1"/>
          <w:sz w:val="24"/>
          <w:szCs w:val="24"/>
          <w:highlight w:val="none"/>
          <w14:textFill>
            <w14:solidFill>
              <w14:schemeClr w14:val="tx1"/>
            </w14:solidFill>
          </w14:textFill>
        </w:rPr>
        <w:tab/>
      </w:r>
      <w:r>
        <w:rPr>
          <w:rFonts w:ascii="Times New Roman" w:hAnsi="Times New Roman" w:cs="Times New Roman"/>
          <w:color w:val="000000" w:themeColor="text1"/>
          <w:sz w:val="24"/>
          <w:szCs w:val="24"/>
          <w:highlight w:val="none"/>
          <w14:textFill>
            <w14:solidFill>
              <w14:schemeClr w14:val="tx1"/>
            </w14:solidFill>
          </w14:textFill>
        </w:rPr>
        <w:t>По письменному сообщению Подрядчика о готовности Объекта к сдаче в эксплуатацию в течение срока, установленном настоящим контрактом организовать совместно с Подрядчиком приемку надлежащим образом выполненных работ в соответствии с установленным порядком.</w:t>
      </w:r>
    </w:p>
    <w:p w14:paraId="74691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color w:val="000000" w:themeColor="text1"/>
          <w:sz w:val="24"/>
          <w:szCs w:val="24"/>
          <w:highlight w:val="none"/>
          <w:lang w:eastAsia="en-US"/>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4.6.</w:t>
      </w:r>
      <w:r>
        <w:rPr>
          <w:rFonts w:ascii="Times New Roman" w:hAnsi="Times New Roman" w:cs="Times New Roman"/>
          <w:color w:val="000000" w:themeColor="text1"/>
          <w:sz w:val="24"/>
          <w:szCs w:val="24"/>
          <w:highlight w:val="none"/>
          <w:lang w:eastAsia="en-US"/>
          <w14:textFill>
            <w14:solidFill>
              <w14:schemeClr w14:val="tx1"/>
            </w14:solidFill>
          </w14:textFill>
        </w:rPr>
        <w:t>2. Выполнить в полном объеме все свои обязательства, предусмотренные в других разделах настоящего Контракта.</w:t>
      </w:r>
    </w:p>
    <w:p w14:paraId="476CC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color w:val="000000" w:themeColor="text1"/>
          <w:sz w:val="24"/>
          <w:szCs w:val="24"/>
          <w:highlight w:val="none"/>
          <w:lang w:eastAsia="en-US"/>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4.6.</w:t>
      </w:r>
      <w:r>
        <w:rPr>
          <w:rFonts w:ascii="Times New Roman" w:hAnsi="Times New Roman" w:cs="Times New Roman"/>
          <w:color w:val="000000" w:themeColor="text1"/>
          <w:sz w:val="24"/>
          <w:szCs w:val="24"/>
          <w:highlight w:val="none"/>
          <w:lang w:eastAsia="en-US"/>
          <w14:textFill>
            <w14:solidFill>
              <w14:schemeClr w14:val="tx1"/>
            </w14:solidFill>
          </w14:textFill>
        </w:rPr>
        <w:t>3. Оплачивать выполненные согласно сметы работы с учетом графика выполнения строительно-монтажных работ и фактически выполненных подрядчиком работ не позднее 7 (семи) рабочих дней с даты подписания заказчиком акта сдачи-приемки выполненных работ.</w:t>
      </w:r>
    </w:p>
    <w:p w14:paraId="77EB7D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color w:val="000000" w:themeColor="text1"/>
          <w:sz w:val="24"/>
          <w:szCs w:val="24"/>
          <w:highlight w:val="none"/>
          <w:lang w:eastAsia="en-US"/>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4.6.</w:t>
      </w:r>
      <w:r>
        <w:rPr>
          <w:rFonts w:ascii="Times New Roman" w:hAnsi="Times New Roman" w:cs="Times New Roman"/>
          <w:color w:val="000000" w:themeColor="text1"/>
          <w:sz w:val="24"/>
          <w:szCs w:val="24"/>
          <w:highlight w:val="none"/>
          <w:lang w:eastAsia="en-US"/>
          <w14:textFill>
            <w14:solidFill>
              <w14:schemeClr w14:val="tx1"/>
            </w14:solidFill>
          </w14:textFill>
        </w:rPr>
        <w:t>4. Проводить проверку предоставленных подрядчиком результатов работ, предусмотренных контрактом, в части их соответствия условиям контракта.</w:t>
      </w:r>
      <w:bookmarkStart w:id="0" w:name="100039"/>
      <w:bookmarkEnd w:id="0"/>
    </w:p>
    <w:p w14:paraId="4C108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color w:val="000000" w:themeColor="text1"/>
          <w:sz w:val="24"/>
          <w:szCs w:val="24"/>
          <w:highlight w:val="none"/>
          <w:lang w:eastAsia="en-US"/>
          <w14:textFill>
            <w14:solidFill>
              <w14:schemeClr w14:val="tx1"/>
            </w14:solidFill>
          </w14:textFill>
        </w:rPr>
      </w:pPr>
      <w:r>
        <w:rPr>
          <w:rFonts w:ascii="Times New Roman" w:hAnsi="Times New Roman" w:cs="Times New Roman"/>
          <w:color w:val="000000" w:themeColor="text1"/>
          <w:sz w:val="24"/>
          <w:szCs w:val="24"/>
          <w:highlight w:val="none"/>
          <w:lang w:eastAsia="en-US"/>
          <w14:textFill>
            <w14:solidFill>
              <w14:schemeClr w14:val="tx1"/>
            </w14:solidFill>
          </w14:textFill>
        </w:rPr>
        <w:t xml:space="preserve">4.7. Заказчик в течение десяти рабочих дней с даты приемки объекта капитального строительства и представления подрядчиком имеющихся у него документов, необходимых в соответствии с Градостроительным </w:t>
      </w:r>
      <w:r>
        <w:rPr>
          <w:highlight w:val="none"/>
        </w:rPr>
        <w:fldChar w:fldCharType="begin"/>
      </w:r>
      <w:r>
        <w:rPr>
          <w:highlight w:val="none"/>
        </w:rPr>
        <w:instrText xml:space="preserve"> HYPERLINK "http://www.consultant.ru/document/cons_doc_LAW_351269/df32b8231cf067c4d4e864c717eb6b398358b504/" \l "dst2621" </w:instrText>
      </w:r>
      <w:r>
        <w:rPr>
          <w:highlight w:val="none"/>
        </w:rPr>
        <w:fldChar w:fldCharType="separate"/>
      </w:r>
      <w:r>
        <w:rPr>
          <w:rFonts w:ascii="Times New Roman" w:hAnsi="Times New Roman" w:cs="Times New Roman"/>
          <w:color w:val="000000" w:themeColor="text1"/>
          <w:sz w:val="24"/>
          <w:szCs w:val="24"/>
          <w:highlight w:val="none"/>
          <w:u w:val="single"/>
          <w:lang w:eastAsia="en-US"/>
          <w14:textFill>
            <w14:solidFill>
              <w14:schemeClr w14:val="tx1"/>
            </w14:solidFill>
          </w14:textFill>
        </w:rPr>
        <w:t>кодексом</w:t>
      </w:r>
      <w:r>
        <w:rPr>
          <w:rFonts w:ascii="Times New Roman" w:hAnsi="Times New Roman" w:cs="Times New Roman"/>
          <w:color w:val="000000" w:themeColor="text1"/>
          <w:sz w:val="24"/>
          <w:szCs w:val="24"/>
          <w:highlight w:val="none"/>
          <w:u w:val="single"/>
          <w:lang w:eastAsia="en-US"/>
          <w14:textFill>
            <w14:solidFill>
              <w14:schemeClr w14:val="tx1"/>
            </w14:solidFill>
          </w14:textFill>
        </w:rPr>
        <w:fldChar w:fldCharType="end"/>
      </w:r>
      <w:r>
        <w:rPr>
          <w:rFonts w:ascii="Times New Roman" w:hAnsi="Times New Roman" w:cs="Times New Roman"/>
          <w:color w:val="000000" w:themeColor="text1"/>
          <w:sz w:val="24"/>
          <w:szCs w:val="24"/>
          <w:highlight w:val="none"/>
          <w:lang w:eastAsia="en-US"/>
          <w14:textFill>
            <w14:solidFill>
              <w14:schemeClr w14:val="tx1"/>
            </w14:solidFill>
          </w14:textFill>
        </w:rPr>
        <w:t xml:space="preserve"> Российской Федерации для получения заключения органа государственного строительного надзора о соответствии построенного и (или)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заключения федерального государственного экологического надзора в случаях, предусмотренных </w:t>
      </w:r>
      <w:r>
        <w:rPr>
          <w:highlight w:val="none"/>
        </w:rPr>
        <w:fldChar w:fldCharType="begin"/>
      </w:r>
      <w:r>
        <w:rPr>
          <w:highlight w:val="none"/>
        </w:rPr>
        <w:instrText xml:space="preserve"> HYPERLINK "http://www.consultant.ru/document/cons_doc_LAW_351269/d6aa4f5374347120919d6d0ca106e089be185a9b/" \l "dst1113" </w:instrText>
      </w:r>
      <w:r>
        <w:rPr>
          <w:highlight w:val="none"/>
        </w:rPr>
        <w:fldChar w:fldCharType="separate"/>
      </w:r>
      <w:r>
        <w:rPr>
          <w:rFonts w:ascii="Times New Roman" w:hAnsi="Times New Roman" w:cs="Times New Roman"/>
          <w:color w:val="000000" w:themeColor="text1"/>
          <w:sz w:val="24"/>
          <w:szCs w:val="24"/>
          <w:highlight w:val="none"/>
          <w:u w:val="single"/>
          <w:lang w:eastAsia="en-US"/>
          <w14:textFill>
            <w14:solidFill>
              <w14:schemeClr w14:val="tx1"/>
            </w14:solidFill>
          </w14:textFill>
        </w:rPr>
        <w:t>частью 7 статьи 54</w:t>
      </w:r>
      <w:r>
        <w:rPr>
          <w:rFonts w:ascii="Times New Roman" w:hAnsi="Times New Roman" w:cs="Times New Roman"/>
          <w:color w:val="000000" w:themeColor="text1"/>
          <w:sz w:val="24"/>
          <w:szCs w:val="24"/>
          <w:highlight w:val="none"/>
          <w:u w:val="single"/>
          <w:lang w:eastAsia="en-US"/>
          <w14:textFill>
            <w14:solidFill>
              <w14:schemeClr w14:val="tx1"/>
            </w14:solidFill>
          </w14:textFill>
        </w:rPr>
        <w:fldChar w:fldCharType="end"/>
      </w:r>
      <w:r>
        <w:rPr>
          <w:rFonts w:ascii="Times New Roman" w:hAnsi="Times New Roman" w:cs="Times New Roman"/>
          <w:color w:val="000000" w:themeColor="text1"/>
          <w:sz w:val="24"/>
          <w:szCs w:val="24"/>
          <w:highlight w:val="none"/>
          <w:lang w:eastAsia="en-US"/>
          <w14:textFill>
            <w14:solidFill>
              <w14:schemeClr w14:val="tx1"/>
            </w14:solidFill>
          </w14:textFill>
        </w:rPr>
        <w:t xml:space="preserve"> Градостроительного кодекса Российской Федерации, направляет представленные документы в органы, уполномоченные в соответствии с законодательством Российской Федерации на выдачу указанных заключений. Заказчик в течение десяти рабочих дней с даты получения соответствующего заключения (заключений) и представления подрядчиком имеющихся у него документов, необходимых в соответствии с Градостроительным </w:t>
      </w:r>
      <w:r>
        <w:rPr>
          <w:highlight w:val="none"/>
        </w:rPr>
        <w:fldChar w:fldCharType="begin"/>
      </w:r>
      <w:r>
        <w:rPr>
          <w:highlight w:val="none"/>
        </w:rPr>
        <w:instrText xml:space="preserve"> HYPERLINK "http://www.consultant.ru/document/cons_doc_LAW_351269/935a657a2b5f7c7a6436cb756694bb2d649c7a00/" \l "dst278" </w:instrText>
      </w:r>
      <w:r>
        <w:rPr>
          <w:highlight w:val="none"/>
        </w:rPr>
        <w:fldChar w:fldCharType="separate"/>
      </w:r>
      <w:r>
        <w:rPr>
          <w:rFonts w:ascii="Times New Roman" w:hAnsi="Times New Roman" w:cs="Times New Roman"/>
          <w:color w:val="000000" w:themeColor="text1"/>
          <w:sz w:val="24"/>
          <w:szCs w:val="24"/>
          <w:highlight w:val="none"/>
          <w:u w:val="single"/>
          <w:lang w:eastAsia="en-US"/>
          <w14:textFill>
            <w14:solidFill>
              <w14:schemeClr w14:val="tx1"/>
            </w14:solidFill>
          </w14:textFill>
        </w:rPr>
        <w:t>кодексом</w:t>
      </w:r>
      <w:r>
        <w:rPr>
          <w:rFonts w:ascii="Times New Roman" w:hAnsi="Times New Roman" w:cs="Times New Roman"/>
          <w:color w:val="000000" w:themeColor="text1"/>
          <w:sz w:val="24"/>
          <w:szCs w:val="24"/>
          <w:highlight w:val="none"/>
          <w:u w:val="single"/>
          <w:lang w:eastAsia="en-US"/>
          <w14:textFill>
            <w14:solidFill>
              <w14:schemeClr w14:val="tx1"/>
            </w14:solidFill>
          </w14:textFill>
        </w:rPr>
        <w:fldChar w:fldCharType="end"/>
      </w:r>
      <w:r>
        <w:rPr>
          <w:rFonts w:ascii="Times New Roman" w:hAnsi="Times New Roman" w:cs="Times New Roman"/>
          <w:color w:val="000000" w:themeColor="text1"/>
          <w:sz w:val="24"/>
          <w:szCs w:val="24"/>
          <w:highlight w:val="none"/>
          <w:lang w:eastAsia="en-US"/>
          <w14:textFill>
            <w14:solidFill>
              <w14:schemeClr w14:val="tx1"/>
            </w14:solidFill>
          </w14:textFill>
        </w:rPr>
        <w:t xml:space="preserve"> Российской Федерации для получения разрешения на ввод объекта в эксплуатацию, направляет документы в органы, уполномоченные в соответствии с Градостроительным </w:t>
      </w:r>
      <w:r>
        <w:rPr>
          <w:highlight w:val="none"/>
        </w:rPr>
        <w:fldChar w:fldCharType="begin"/>
      </w:r>
      <w:r>
        <w:rPr>
          <w:highlight w:val="none"/>
        </w:rPr>
        <w:instrText xml:space="preserve"> HYPERLINK "http://www.consultant.ru/document/cons_doc_LAW_351269/935a657a2b5f7c7a6436cb756694bb2d649c7a00/" \l "dst3077" </w:instrText>
      </w:r>
      <w:r>
        <w:rPr>
          <w:highlight w:val="none"/>
        </w:rPr>
        <w:fldChar w:fldCharType="separate"/>
      </w:r>
      <w:r>
        <w:rPr>
          <w:rFonts w:ascii="Times New Roman" w:hAnsi="Times New Roman" w:cs="Times New Roman"/>
          <w:color w:val="000000" w:themeColor="text1"/>
          <w:sz w:val="24"/>
          <w:szCs w:val="24"/>
          <w:highlight w:val="none"/>
          <w:u w:val="single"/>
          <w:lang w:eastAsia="en-US"/>
          <w14:textFill>
            <w14:solidFill>
              <w14:schemeClr w14:val="tx1"/>
            </w14:solidFill>
          </w14:textFill>
        </w:rPr>
        <w:t>кодексом</w:t>
      </w:r>
      <w:r>
        <w:rPr>
          <w:rFonts w:ascii="Times New Roman" w:hAnsi="Times New Roman" w:cs="Times New Roman"/>
          <w:color w:val="000000" w:themeColor="text1"/>
          <w:sz w:val="24"/>
          <w:szCs w:val="24"/>
          <w:highlight w:val="none"/>
          <w:u w:val="single"/>
          <w:lang w:eastAsia="en-US"/>
          <w14:textFill>
            <w14:solidFill>
              <w14:schemeClr w14:val="tx1"/>
            </w14:solidFill>
          </w14:textFill>
        </w:rPr>
        <w:fldChar w:fldCharType="end"/>
      </w:r>
      <w:r>
        <w:rPr>
          <w:rFonts w:ascii="Times New Roman" w:hAnsi="Times New Roman" w:cs="Times New Roman"/>
          <w:color w:val="000000" w:themeColor="text1"/>
          <w:sz w:val="24"/>
          <w:szCs w:val="24"/>
          <w:highlight w:val="none"/>
          <w:lang w:eastAsia="en-US"/>
          <w14:textFill>
            <w14:solidFill>
              <w14:schemeClr w14:val="tx1"/>
            </w14:solidFill>
          </w14:textFill>
        </w:rPr>
        <w:t xml:space="preserve"> Российской Федерации на выдачу разрешения на ввод объекта в эксплуатацию.</w:t>
      </w:r>
    </w:p>
    <w:p w14:paraId="2E6A9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rFonts w:ascii="Times New Roman" w:hAnsi="Times New Roman" w:cs="Times New Roman"/>
          <w:color w:val="000000" w:themeColor="text1"/>
          <w:sz w:val="24"/>
          <w:szCs w:val="24"/>
          <w:highlight w:val="none"/>
          <w:lang w:eastAsia="en-US"/>
          <w14:textFill>
            <w14:solidFill>
              <w14:schemeClr w14:val="tx1"/>
            </w14:solidFill>
          </w14:textFill>
        </w:rPr>
      </w:pPr>
      <w:r>
        <w:rPr>
          <w:rFonts w:ascii="Times New Roman" w:hAnsi="Times New Roman" w:cs="Times New Roman"/>
          <w:color w:val="000000" w:themeColor="text1"/>
          <w:sz w:val="24"/>
          <w:szCs w:val="24"/>
          <w:highlight w:val="none"/>
          <w:lang w:eastAsia="en-US"/>
          <w14:textFill>
            <w14:solidFill>
              <w14:schemeClr w14:val="tx1"/>
            </w14:solidFill>
          </w14:textFill>
        </w:rPr>
        <w:t>4.7.1. Со дня заключения контракта осуществлять содействие подрядчику в исполнении им своих обязательств по контракту, а также осуществлять действия, позволяющие подрядчику приступить к выполнению работ и своевременно выполнить работы, если в соответствии с законодательством Российской Федерации осуществление таких действий возложено на заказчика.</w:t>
      </w:r>
    </w:p>
    <w:p w14:paraId="3A7D56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rFonts w:ascii="Times New Roman" w:hAnsi="Times New Roman" w:cs="Times New Roman"/>
          <w:color w:val="000000" w:themeColor="text1"/>
          <w:sz w:val="24"/>
          <w:szCs w:val="24"/>
          <w:highlight w:val="none"/>
          <w:lang w:eastAsia="en-US"/>
          <w14:textFill>
            <w14:solidFill>
              <w14:schemeClr w14:val="tx1"/>
            </w14:solidFill>
          </w14:textFill>
        </w:rPr>
      </w:pPr>
      <w:r>
        <w:rPr>
          <w:rFonts w:ascii="Times New Roman" w:hAnsi="Times New Roman" w:cs="Times New Roman"/>
          <w:color w:val="000000" w:themeColor="text1"/>
          <w:sz w:val="24"/>
          <w:szCs w:val="24"/>
          <w:highlight w:val="none"/>
          <w:lang w:eastAsia="en-US"/>
          <w14:textFill>
            <w14:solidFill>
              <w14:schemeClr w14:val="tx1"/>
            </w14:solidFill>
          </w14:textFill>
        </w:rPr>
        <w:t>4.7.2. В течение 30 дней  со  дня,  следующего  за  днем  заключения контракта,   передать   подрядчику  по  акту  приема-передачи  строительную площадку,  а  также  документы, которые определены приложением к контракту, являющимся  его  неотъемлемой  частью, а в случае получения мотивированного отказа  подрядчика  от  подписания проекта акта приема-передачи осуществить одно из следующих действий:</w:t>
      </w:r>
    </w:p>
    <w:p w14:paraId="5FF8C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rFonts w:ascii="Times New Roman" w:hAnsi="Times New Roman" w:cs="Times New Roman"/>
          <w:color w:val="000000" w:themeColor="text1"/>
          <w:sz w:val="24"/>
          <w:szCs w:val="24"/>
          <w:highlight w:val="none"/>
          <w:lang w:eastAsia="en-US"/>
          <w14:textFill>
            <w14:solidFill>
              <w14:schemeClr w14:val="tx1"/>
            </w14:solidFill>
          </w14:textFill>
        </w:rPr>
      </w:pPr>
      <w:r>
        <w:rPr>
          <w:rFonts w:ascii="Times New Roman" w:hAnsi="Times New Roman" w:cs="Times New Roman"/>
          <w:color w:val="000000" w:themeColor="text1"/>
          <w:sz w:val="24"/>
          <w:szCs w:val="24"/>
          <w:highlight w:val="none"/>
          <w:lang w:eastAsia="en-US"/>
          <w14:textFill>
            <w14:solidFill>
              <w14:schemeClr w14:val="tx1"/>
            </w14:solidFill>
          </w14:textFill>
        </w:rPr>
        <w:t>-в течение 30 дней   со   дня,   следующего   за   днем   получения мотивированного    отказа    подрядчика    от   подписания   проекта   акта приема-передачи,  устранить  замечания,  указанные  в  таком мотивированном отказе, и повторно передать подрядчику по акту приема-передачи строительную площадку,  а  та же  документы, которые определены приложением к контракту, являющимся его неотъемлемой частью;</w:t>
      </w:r>
    </w:p>
    <w:p w14:paraId="6D50C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rFonts w:ascii="Times New Roman" w:hAnsi="Times New Roman" w:cs="Times New Roman"/>
          <w:color w:val="000000" w:themeColor="text1"/>
          <w:sz w:val="24"/>
          <w:szCs w:val="24"/>
          <w:highlight w:val="none"/>
          <w:lang w:eastAsia="en-US"/>
          <w14:textFill>
            <w14:solidFill>
              <w14:schemeClr w14:val="tx1"/>
            </w14:solidFill>
          </w14:textFill>
        </w:rPr>
      </w:pPr>
      <w:r>
        <w:rPr>
          <w:rFonts w:ascii="Times New Roman" w:hAnsi="Times New Roman" w:cs="Times New Roman"/>
          <w:color w:val="000000" w:themeColor="text1"/>
          <w:sz w:val="24"/>
          <w:szCs w:val="24"/>
          <w:highlight w:val="none"/>
          <w:lang w:eastAsia="en-US"/>
          <w14:textFill>
            <w14:solidFill>
              <w14:schemeClr w14:val="tx1"/>
            </w14:solidFill>
          </w14:textFill>
        </w:rPr>
        <w:t>-согласовать с подрядчиком новый срок передачи таких строительной площадки и документов (в случае, если в установленный контрактом срок невозможно устранить замечания, указанные в мотивированном отказе подрядчика от подписания проекта акта приема-передачи);</w:t>
      </w:r>
    </w:p>
    <w:p w14:paraId="5AD3A7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rFonts w:ascii="Times New Roman" w:hAnsi="Times New Roman" w:cs="Times New Roman"/>
          <w:color w:val="000000" w:themeColor="text1"/>
          <w:sz w:val="24"/>
          <w:szCs w:val="24"/>
          <w:highlight w:val="none"/>
          <w:lang w:eastAsia="en-US"/>
          <w14:textFill>
            <w14:solidFill>
              <w14:schemeClr w14:val="tx1"/>
            </w14:solidFill>
          </w14:textFill>
        </w:rPr>
      </w:pPr>
      <w:r>
        <w:rPr>
          <w:rFonts w:ascii="Times New Roman" w:hAnsi="Times New Roman" w:cs="Times New Roman"/>
          <w:color w:val="000000" w:themeColor="text1"/>
          <w:sz w:val="24"/>
          <w:szCs w:val="24"/>
          <w:highlight w:val="none"/>
          <w:lang w:eastAsia="en-US"/>
          <w14:textFill>
            <w14:solidFill>
              <w14:schemeClr w14:val="tx1"/>
            </w14:solidFill>
          </w14:textFill>
        </w:rPr>
        <w:t>-направить подрядчику требование о приемке по акту приема-передачи строительной площадки, а также документов, которые определены приложением к контракту, являющимся его неотъемлемой частью, с указанием причин отказа заказчика от устранения замечаний, указанных в мотивированном отказе подрядчика от подписания проекта акта приема-передачи.</w:t>
      </w:r>
    </w:p>
    <w:p w14:paraId="3E7BF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rFonts w:ascii="Times New Roman" w:hAnsi="Times New Roman" w:cs="Times New Roman"/>
          <w:color w:val="000000" w:themeColor="text1"/>
          <w:sz w:val="24"/>
          <w:szCs w:val="24"/>
          <w:highlight w:val="none"/>
          <w:lang w:eastAsia="en-US"/>
          <w14:textFill>
            <w14:solidFill>
              <w14:schemeClr w14:val="tx1"/>
            </w14:solidFill>
          </w14:textFill>
        </w:rPr>
      </w:pPr>
      <w:r>
        <w:rPr>
          <w:rFonts w:ascii="Times New Roman" w:hAnsi="Times New Roman" w:cs="Times New Roman"/>
          <w:color w:val="000000" w:themeColor="text1"/>
          <w:sz w:val="24"/>
          <w:szCs w:val="24"/>
          <w:highlight w:val="none"/>
          <w:lang w:eastAsia="en-US"/>
          <w14:textFill>
            <w14:solidFill>
              <w14:schemeClr w14:val="tx1"/>
            </w14:solidFill>
          </w14:textFill>
        </w:rPr>
        <w:t>4.7.3. Обеспечить доступ персонала подрядчика на строительную площадку.</w:t>
      </w:r>
    </w:p>
    <w:p w14:paraId="64304A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rFonts w:ascii="Times New Roman" w:hAnsi="Times New Roman" w:cs="Times New Roman"/>
          <w:color w:val="000000" w:themeColor="text1"/>
          <w:sz w:val="24"/>
          <w:szCs w:val="24"/>
          <w:highlight w:val="none"/>
          <w:lang w:eastAsia="en-US"/>
          <w14:textFill>
            <w14:solidFill>
              <w14:schemeClr w14:val="tx1"/>
            </w14:solidFill>
          </w14:textFill>
        </w:rPr>
      </w:pPr>
      <w:r>
        <w:rPr>
          <w:rFonts w:ascii="Times New Roman" w:hAnsi="Times New Roman" w:cs="Times New Roman"/>
          <w:color w:val="000000" w:themeColor="text1"/>
          <w:sz w:val="24"/>
          <w:szCs w:val="24"/>
          <w:highlight w:val="none"/>
          <w:lang w:eastAsia="en-US"/>
          <w14:textFill>
            <w14:solidFill>
              <w14:schemeClr w14:val="tx1"/>
            </w14:solidFill>
          </w14:textFill>
        </w:rPr>
        <w:t>4.7.4. Отправлять подрядчику в сроки и порядке, которые определены контрактом, ответы на уведомления, обращения, требования, предложения и иные сообщения, связанные с исполнением обязательств сторон по контракту. Уведомления, обращения, требования, предложения и иные сообщения подрядчика с описанием возникшей при исполнении контракта проблемы и (или) предложением по ее решению, но не связанные с изменением существенных условий контракта либо урегулированием споров, рассматриваются заказчиком в течение 10 рабочих дней со дня их поступления, если иной срок не установлен контрактом.</w:t>
      </w:r>
    </w:p>
    <w:p w14:paraId="1DE8A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rFonts w:ascii="Times New Roman" w:hAnsi="Times New Roman" w:cs="Times New Roman"/>
          <w:color w:val="000000" w:themeColor="text1"/>
          <w:sz w:val="24"/>
          <w:szCs w:val="24"/>
          <w:highlight w:val="none"/>
          <w:lang w:eastAsia="en-US"/>
          <w14:textFill>
            <w14:solidFill>
              <w14:schemeClr w14:val="tx1"/>
            </w14:solidFill>
          </w14:textFill>
        </w:rPr>
      </w:pPr>
      <w:r>
        <w:rPr>
          <w:rFonts w:ascii="Times New Roman" w:hAnsi="Times New Roman" w:cs="Times New Roman"/>
          <w:color w:val="000000" w:themeColor="text1"/>
          <w:sz w:val="24"/>
          <w:szCs w:val="24"/>
          <w:highlight w:val="none"/>
          <w:lang w:eastAsia="en-US"/>
          <w14:textFill>
            <w14:solidFill>
              <w14:schemeClr w14:val="tx1"/>
            </w14:solidFill>
          </w14:textFill>
        </w:rPr>
        <w:t>4.7.5. В сроки и порядке, которые предусмотрены контрактом, с участием подрядчика осмотреть и принять выполненные работы (их результат), а при обнаружении отступлений от контракта, в том числе ухудшающих результат работ, или иных недостатков в работах немедленно заявить об этом подрядчику.</w:t>
      </w:r>
    </w:p>
    <w:p w14:paraId="2AC92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rFonts w:ascii="Times New Roman" w:hAnsi="Times New Roman" w:cs="Times New Roman"/>
          <w:color w:val="000000" w:themeColor="text1"/>
          <w:sz w:val="24"/>
          <w:szCs w:val="24"/>
          <w:highlight w:val="none"/>
          <w:lang w:eastAsia="en-US"/>
          <w14:textFill>
            <w14:solidFill>
              <w14:schemeClr w14:val="tx1"/>
            </w14:solidFill>
          </w14:textFill>
        </w:rPr>
      </w:pPr>
      <w:r>
        <w:rPr>
          <w:rFonts w:ascii="Times New Roman" w:hAnsi="Times New Roman" w:cs="Times New Roman"/>
          <w:color w:val="000000" w:themeColor="text1"/>
          <w:sz w:val="24"/>
          <w:szCs w:val="24"/>
          <w:highlight w:val="none"/>
          <w:lang w:eastAsia="en-US"/>
          <w14:textFill>
            <w14:solidFill>
              <w14:schemeClr w14:val="tx1"/>
            </w14:solidFill>
          </w14:textFill>
        </w:rPr>
        <w:t>4.7.6. Проводить самостоятельно или с привлечением экспертов, экспертных организаций экспертизу представленного подрядчиком результата выполненных работ в части его соответствия условиям контракта.</w:t>
      </w:r>
    </w:p>
    <w:p w14:paraId="115E2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rFonts w:ascii="Times New Roman" w:hAnsi="Times New Roman" w:cs="Times New Roman"/>
          <w:color w:val="000000" w:themeColor="text1"/>
          <w:sz w:val="24"/>
          <w:szCs w:val="24"/>
          <w:highlight w:val="none"/>
          <w:lang w:eastAsia="en-US"/>
          <w14:textFill>
            <w14:solidFill>
              <w14:schemeClr w14:val="tx1"/>
            </w14:solidFill>
          </w14:textFill>
        </w:rPr>
      </w:pPr>
      <w:r>
        <w:rPr>
          <w:rFonts w:ascii="Times New Roman" w:hAnsi="Times New Roman" w:cs="Times New Roman"/>
          <w:color w:val="000000" w:themeColor="text1"/>
          <w:sz w:val="24"/>
          <w:szCs w:val="24"/>
          <w:highlight w:val="none"/>
          <w:lang w:eastAsia="en-US"/>
          <w14:textFill>
            <w14:solidFill>
              <w14:schemeClr w14:val="tx1"/>
            </w14:solidFill>
          </w14:textFill>
        </w:rPr>
        <w:t>4.7.8. В случае просрочки исполнения подрядчиком обязательств, предусмотренных контрактом (в том числе гарантийного обязательства), а также в иных случаях неисполнения или ненадлежащего исполнения подрядчиком обязательств, предусмотренных контрактом, направлять подрядчику требование об уплате неустоек (штрафов, пеней).</w:t>
      </w:r>
    </w:p>
    <w:p w14:paraId="455F9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rFonts w:ascii="Times New Roman" w:hAnsi="Times New Roman" w:cs="Times New Roman"/>
          <w:color w:val="000000" w:themeColor="text1"/>
          <w:sz w:val="24"/>
          <w:szCs w:val="24"/>
          <w:highlight w:val="none"/>
          <w:lang w:eastAsia="en-US"/>
          <w14:textFill>
            <w14:solidFill>
              <w14:schemeClr w14:val="tx1"/>
            </w14:solidFill>
          </w14:textFill>
        </w:rPr>
      </w:pPr>
      <w:r>
        <w:rPr>
          <w:rFonts w:ascii="Times New Roman" w:hAnsi="Times New Roman" w:cs="Times New Roman"/>
          <w:color w:val="000000" w:themeColor="text1"/>
          <w:sz w:val="24"/>
          <w:szCs w:val="24"/>
          <w:highlight w:val="none"/>
          <w:lang w:eastAsia="en-US"/>
          <w14:textFill>
            <w14:solidFill>
              <w14:schemeClr w14:val="tx1"/>
            </w14:solidFill>
          </w14:textFill>
        </w:rPr>
        <w:t>4.7.9. В случаях и порядке, которые установлены законодательством Российской Федерации о контрактной системе в сфере закупок, списывать суммы неустоек (штрафов, пеней), начисленных подрядчику, но не списанных заказчиком в связи с неисполнением или ненадлежащим исполнением подрядчиком обязательств, предусмотренных контрактом.</w:t>
      </w:r>
    </w:p>
    <w:p w14:paraId="100EC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themeColor="text1"/>
          <w:sz w:val="24"/>
          <w:szCs w:val="24"/>
          <w:highlight w:val="none"/>
          <w:lang w:eastAsia="en-US"/>
          <w14:textFill>
            <w14:solidFill>
              <w14:schemeClr w14:val="tx1"/>
            </w14:solidFill>
          </w14:textFill>
        </w:rPr>
      </w:pPr>
    </w:p>
    <w:p w14:paraId="4B2C0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color w:val="000000" w:themeColor="text1"/>
          <w:sz w:val="24"/>
          <w:szCs w:val="24"/>
          <w:highlight w:val="none"/>
          <w:lang w:eastAsia="en-US"/>
          <w14:textFill>
            <w14:solidFill>
              <w14:schemeClr w14:val="tx1"/>
            </w14:solidFill>
          </w14:textFill>
        </w:rPr>
      </w:pPr>
      <w:r>
        <w:rPr>
          <w:rFonts w:ascii="Times New Roman" w:hAnsi="Times New Roman" w:cs="Times New Roman"/>
          <w:color w:val="000000" w:themeColor="text1"/>
          <w:sz w:val="24"/>
          <w:szCs w:val="24"/>
          <w:highlight w:val="none"/>
          <w:lang w:eastAsia="en-US"/>
          <w14:textFill>
            <w14:solidFill>
              <w14:schemeClr w14:val="tx1"/>
            </w14:solidFill>
          </w14:textFill>
        </w:rPr>
        <w:t>4.8. Заказчик вправе:</w:t>
      </w:r>
    </w:p>
    <w:p w14:paraId="34032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color w:val="000000" w:themeColor="text1"/>
          <w:sz w:val="24"/>
          <w:szCs w:val="24"/>
          <w:highlight w:val="none"/>
          <w:lang w:eastAsia="en-US"/>
          <w14:textFill>
            <w14:solidFill>
              <w14:schemeClr w14:val="tx1"/>
            </w14:solidFill>
          </w14:textFill>
        </w:rPr>
      </w:pPr>
      <w:r>
        <w:rPr>
          <w:rFonts w:ascii="Times New Roman" w:hAnsi="Times New Roman" w:cs="Times New Roman"/>
          <w:color w:val="000000" w:themeColor="text1"/>
          <w:sz w:val="24"/>
          <w:szCs w:val="24"/>
          <w:highlight w:val="none"/>
          <w:lang w:eastAsia="en-US"/>
          <w14:textFill>
            <w14:solidFill>
              <w14:schemeClr w14:val="tx1"/>
            </w14:solidFill>
          </w14:textFill>
        </w:rPr>
        <w:t xml:space="preserve">4.8.1. В любое время проверять ход и качество работы, выполняемой Подрядчиком, привлекать независимую экспертизу, приостанавливать выполнение работ в случае явных технологических нарушений; </w:t>
      </w:r>
    </w:p>
    <w:p w14:paraId="03C681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color w:val="000000" w:themeColor="text1"/>
          <w:sz w:val="24"/>
          <w:szCs w:val="24"/>
          <w:highlight w:val="none"/>
          <w:lang w:eastAsia="en-US"/>
          <w14:textFill>
            <w14:solidFill>
              <w14:schemeClr w14:val="tx1"/>
            </w14:solidFill>
          </w14:textFill>
        </w:rPr>
      </w:pPr>
      <w:r>
        <w:rPr>
          <w:rFonts w:ascii="Times New Roman" w:hAnsi="Times New Roman" w:cs="Times New Roman"/>
          <w:color w:val="000000" w:themeColor="text1"/>
          <w:sz w:val="24"/>
          <w:szCs w:val="24"/>
          <w:highlight w:val="none"/>
          <w:lang w:eastAsia="en-US"/>
          <w14:textFill>
            <w14:solidFill>
              <w14:schemeClr w14:val="tx1"/>
            </w14:solidFill>
          </w14:textFill>
        </w:rPr>
        <w:t xml:space="preserve">4.8.2. Отказаться от исполнения настоящего Контракта и потребовать возмещения убытков, если Подрядчик не приступает своевременно к исполнению настоящего  Контракта или выполняет работу настолько медленно, что окончание ее к сроку, указанному в Контракте становится, очевидно, невозможным. </w:t>
      </w:r>
    </w:p>
    <w:p w14:paraId="5FF1B36B">
      <w:pPr>
        <w:widowControl w:val="0"/>
        <w:tabs>
          <w:tab w:val="left" w:pos="916"/>
          <w:tab w:val="left" w:pos="1260"/>
        </w:tabs>
        <w:ind w:firstLine="56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4.8.3. Осуществлять контроль и технический надзор за выполнением работ (объемами, качеством, стоимостью и сроками выполнения работ) в соответствии условиями настоящего Контракта и требованиями нормативных документов.</w:t>
      </w:r>
    </w:p>
    <w:p w14:paraId="78EE0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color w:val="000000" w:themeColor="text1"/>
          <w:sz w:val="24"/>
          <w:szCs w:val="24"/>
          <w:highlight w:val="none"/>
          <w:lang w:eastAsia="en-US"/>
          <w14:textFill>
            <w14:solidFill>
              <w14:schemeClr w14:val="tx1"/>
            </w14:solidFill>
          </w14:textFill>
        </w:rPr>
      </w:pPr>
      <w:r>
        <w:rPr>
          <w:rFonts w:ascii="Times New Roman" w:hAnsi="Times New Roman" w:cs="Times New Roman"/>
          <w:color w:val="000000" w:themeColor="text1"/>
          <w:sz w:val="24"/>
          <w:szCs w:val="24"/>
          <w:highlight w:val="none"/>
          <w:lang w:eastAsia="en-US"/>
          <w14:textFill>
            <w14:solidFill>
              <w14:schemeClr w14:val="tx1"/>
            </w14:solidFill>
          </w14:textFill>
        </w:rPr>
        <w:t>4.8.4. Обеспечить контроль выполнения работ, материалами и оборудованием, изделиями и конструкциями, имеющими сертификаты соответствия определенных законодательством РФ уполномоченных органов.</w:t>
      </w:r>
    </w:p>
    <w:p w14:paraId="08160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color w:val="000000" w:themeColor="text1"/>
          <w:sz w:val="24"/>
          <w:szCs w:val="24"/>
          <w:highlight w:val="none"/>
          <w:lang w:eastAsia="en-US"/>
          <w14:textFill>
            <w14:solidFill>
              <w14:schemeClr w14:val="tx1"/>
            </w14:solidFill>
          </w14:textFill>
        </w:rPr>
      </w:pPr>
      <w:r>
        <w:rPr>
          <w:rFonts w:ascii="Times New Roman" w:hAnsi="Times New Roman" w:cs="Times New Roman"/>
          <w:color w:val="000000" w:themeColor="text1"/>
          <w:sz w:val="24"/>
          <w:szCs w:val="24"/>
          <w:highlight w:val="none"/>
          <w:lang w:eastAsia="en-US"/>
          <w14:textFill>
            <w14:solidFill>
              <w14:schemeClr w14:val="tx1"/>
            </w14:solidFill>
          </w14:textFill>
        </w:rPr>
        <w:t>4.8.5. Требовать от подрядчика надлежащего и своевременного выполнения обязательств, предусмотренных контрактом.</w:t>
      </w:r>
    </w:p>
    <w:p w14:paraId="178124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color w:val="000000" w:themeColor="text1"/>
          <w:sz w:val="24"/>
          <w:szCs w:val="24"/>
          <w:highlight w:val="none"/>
          <w:lang w:eastAsia="en-US"/>
          <w14:textFill>
            <w14:solidFill>
              <w14:schemeClr w14:val="tx1"/>
            </w14:solidFill>
          </w14:textFill>
        </w:rPr>
      </w:pPr>
    </w:p>
    <w:p w14:paraId="102C6C87">
      <w:pPr>
        <w:widowControl w:val="0"/>
        <w:ind w:left="-15" w:firstLine="567"/>
        <w:jc w:val="center"/>
        <w:rPr>
          <w:rFonts w:ascii="Times New Roman" w:hAnsi="Times New Roman" w:eastAsia="PT Astra Serif" w:cs="Times New Roman"/>
          <w:b/>
          <w:color w:val="000000" w:themeColor="text1"/>
          <w:sz w:val="24"/>
          <w:szCs w:val="24"/>
          <w:highlight w:val="none"/>
          <w14:textFill>
            <w14:solidFill>
              <w14:schemeClr w14:val="tx1"/>
            </w14:solidFill>
          </w14:textFill>
        </w:rPr>
      </w:pPr>
      <w:r>
        <w:rPr>
          <w:rFonts w:ascii="Times New Roman" w:hAnsi="Times New Roman" w:eastAsia="PT Astra Serif" w:cs="Times New Roman"/>
          <w:b/>
          <w:color w:val="000000" w:themeColor="text1"/>
          <w:sz w:val="24"/>
          <w:szCs w:val="24"/>
          <w:highlight w:val="none"/>
          <w14:textFill>
            <w14:solidFill>
              <w14:schemeClr w14:val="tx1"/>
            </w14:solidFill>
          </w14:textFill>
        </w:rPr>
        <w:t>5. Качество работ и гарантии.</w:t>
      </w:r>
    </w:p>
    <w:p w14:paraId="65B7EA44">
      <w:pPr>
        <w:widowControl w:val="0"/>
        <w:ind w:left="-15"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5.1. Гарантия качества результата работ, предусмотренного контрактом, распространяется на все, составляющее результат работ.</w:t>
      </w:r>
    </w:p>
    <w:p w14:paraId="577E2B04">
      <w:pPr>
        <w:widowControl w:val="0"/>
        <w:ind w:left="-15"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 xml:space="preserve">5.2. Гарантийный срок на результат работ устанавливается со дня приемки заказчиком результата работ, а в случае досрочного расторжения контракта - со дня, с которого контракт в соответствии с законодательством Российской Федерации считается расторгнутым. Гарантийный срок устанавливается  - 5 лет. </w:t>
      </w:r>
    </w:p>
    <w:p w14:paraId="7A02F0A4">
      <w:pPr>
        <w:widowControl w:val="0"/>
        <w:ind w:left="-15"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5.3. В случае если производителями или поставщиками материалов, конструкций, изделий или оборудования, подлежащих передаче заказчику после завершения работ, установлены гарантийные сроки на такие материалы, конструкции, изделия или оборудование, большие по сравнению с гарантийным сроком, установленным контрактом, к соответствующим материалам, конструкциям, изделиям и оборудованию применяются гарантийные сроки, предусмотренные производителями или поставщиками. Подрядчик обязуется передать заказчику все документы, подтверждающие гарантии качества и гарантийные сроки, предусмотренные указанными поставщиками или производителями.</w:t>
      </w:r>
    </w:p>
    <w:p w14:paraId="3607DB92">
      <w:pPr>
        <w:widowControl w:val="0"/>
        <w:ind w:left="-15"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5.4. Устранение недостатков (дефектов) результата работ, выявленных в течение гарантийного срока, осуществляется силами подрядчика и за его счет.</w:t>
      </w:r>
    </w:p>
    <w:p w14:paraId="0A244B29">
      <w:pPr>
        <w:widowControl w:val="0"/>
        <w:ind w:left="-15"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5.6.. Если в течение гарантийного срока, установленного контрактом, будут обнаружены недостатки(дефекты) результата работ, заказчик уведомляет об этом подрядчика в порядке, предусмотренном  контрактом для направления уведомлений.</w:t>
      </w:r>
    </w:p>
    <w:p w14:paraId="75CA9940">
      <w:pPr>
        <w:widowControl w:val="0"/>
        <w:ind w:left="-15"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5.7. Не позднее 10-го дня со дня получения подрядчиком уведомления о выявленных недостатках(дефектах) результата работ стороны составляют акт о выявленных недостатках (дефектах) результата работ с указанием таких недостатков (дефектов), причин их возникновения, порядка и сроков их устранения и подписывают указанный акт в порядке, установленном контрактом.</w:t>
      </w:r>
    </w:p>
    <w:p w14:paraId="28A683C0">
      <w:pPr>
        <w:widowControl w:val="0"/>
        <w:ind w:left="-15"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5.8. В случае уклонения подрядчика от составления и (или) подписания акта о выявленных недостатках (дефектах) результата работ заказчик вправе в срок, установленный контрактом для составления такого акта, составить его без участия подрядчика, подписать со своей стороны и направить указанный акт подрядчику в порядке, установленном контрактом для направления уведомлений. В указанном случае акт о выявленных недостатках (дефектах) результата работ считается составленным и подписанным сторонами контракта надлежащим образом.</w:t>
      </w:r>
    </w:p>
    <w:p w14:paraId="6263BEB7">
      <w:pPr>
        <w:widowControl w:val="0"/>
        <w:ind w:left="-15"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5.9. Если иной срок не будет согласован сторонами контракта дополнительно, подрядчик обязуется устранить выявленные недостатки (дефекты) результата работ в течение 30 дней со дня подписания акта о выявленных недостатках (дефектах) результата работ или получения подрядчиком акта о выявленных недостатках (дефектах) результата работ, составленного без участия подрядчика и подписанного со стороны заказчика (в случае уклонения подрядчика от составления и (или) подписания акта о выявленных недостатках (дефектах) результата работ).</w:t>
      </w:r>
    </w:p>
    <w:p w14:paraId="5A7DE425">
      <w:pPr>
        <w:widowControl w:val="0"/>
        <w:ind w:left="-15"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5.10. В случае отказа подрядчика от устранения выявленных недостатков (дефектов) результата работ или в случае неустранения недостатков (дефектов) результата работ в установленный контрактом или иной согласованный сторонами контракта срок заказчик вправе привлечь третьих лиц для устранения таких недостатков (дефектов) результата работ и потребовать от подрядчика возмещения расходов наустранение недостатков (дефектов) результата работ.</w:t>
      </w:r>
    </w:p>
    <w:p w14:paraId="3F429FAF">
      <w:pPr>
        <w:widowControl w:val="0"/>
        <w:ind w:left="-15"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5.11. Течение гарантийного срока прерывается на все время, на протяжении которого результат работне мог эксплуатироваться вследствие недостатков (дефектов) результата работ, допущенных подрядчиком.</w:t>
      </w:r>
    </w:p>
    <w:p w14:paraId="3B91E4E8">
      <w:pPr>
        <w:widowControl w:val="0"/>
        <w:ind w:left="-15" w:firstLine="567"/>
        <w:jc w:val="center"/>
        <w:rPr>
          <w:rFonts w:ascii="Times New Roman" w:hAnsi="Times New Roman" w:eastAsia="PT Astra Serif" w:cs="Times New Roman"/>
          <w:b/>
          <w:color w:val="000000" w:themeColor="text1"/>
          <w:sz w:val="24"/>
          <w:szCs w:val="24"/>
          <w:highlight w:val="none"/>
          <w14:textFill>
            <w14:solidFill>
              <w14:schemeClr w14:val="tx1"/>
            </w14:solidFill>
          </w14:textFill>
        </w:rPr>
      </w:pPr>
      <w:r>
        <w:rPr>
          <w:rFonts w:ascii="Times New Roman" w:hAnsi="Times New Roman" w:eastAsia="PT Astra Serif" w:cs="Times New Roman"/>
          <w:b/>
          <w:color w:val="000000" w:themeColor="text1"/>
          <w:sz w:val="24"/>
          <w:szCs w:val="24"/>
          <w:highlight w:val="none"/>
          <w14:textFill>
            <w14:solidFill>
              <w14:schemeClr w14:val="tx1"/>
            </w14:solidFill>
          </w14:textFill>
        </w:rPr>
        <w:t>6. Приемка работ.</w:t>
      </w:r>
    </w:p>
    <w:p w14:paraId="0711ABCA">
      <w:pPr>
        <w:ind w:firstLine="540"/>
        <w:jc w:val="both"/>
        <w:rPr>
          <w:rFonts w:ascii="Times New Roman" w:hAnsi="Times New Roman" w:eastAsia="Verdana" w:cs="Times New Roman"/>
          <w:color w:val="000000" w:themeColor="text1"/>
          <w:sz w:val="24"/>
          <w:szCs w:val="24"/>
          <w:highlight w:val="none"/>
          <w14:textFill>
            <w14:solidFill>
              <w14:schemeClr w14:val="tx1"/>
            </w14:solidFill>
          </w14:textFill>
        </w:rPr>
      </w:pPr>
      <w:r>
        <w:rPr>
          <w:rFonts w:ascii="Times New Roman" w:hAnsi="Times New Roman" w:eastAsia="Times New Roman" w:cs="Times New Roman"/>
          <w:color w:val="000000" w:themeColor="text1"/>
          <w:sz w:val="24"/>
          <w:szCs w:val="24"/>
          <w:highlight w:val="none"/>
          <w14:textFill>
            <w14:solidFill>
              <w14:schemeClr w14:val="tx1"/>
            </w14:solidFill>
          </w14:textFill>
        </w:rPr>
        <w:t xml:space="preserve">6.1. Приемка выполненных работ, в том числе отдельных этапов работ, осуществляется на основании документов о приемке работ, подтверждающих их выполнение в соответствии с условиями контракта, составленных после завершения выполнения конструктивных решений (элементов), комплексов (видов) работ (этапов работ) на основании сметы контракта, графика выполнения строительно-монтажных работ и графика оплаты выполненных работ (при наличии), условиями контракта, в соответствии с Гражданским </w:t>
      </w:r>
      <w:r>
        <w:rPr>
          <w:highlight w:val="none"/>
        </w:rPr>
        <w:fldChar w:fldCharType="begin"/>
      </w:r>
      <w:r>
        <w:rPr>
          <w:highlight w:val="none"/>
        </w:rPr>
        <w:instrText xml:space="preserve"> HYPERLINK "https://login.consultant.ru/link/?rnd=F768AC6E9B3970F11B8ED2B80D5DF585&amp;req=doc&amp;base=LAW&amp;n=340325&amp;REFFIELD=134&amp;REFDST=100055&amp;REFDOC=346324&amp;REFBASE=LAW&amp;stat=refcode%3D16876%3Bindex%3D92&amp;date=23.03.2020" \h </w:instrText>
      </w:r>
      <w:r>
        <w:rPr>
          <w:highlight w:val="none"/>
        </w:rPr>
        <w:fldChar w:fldCharType="separate"/>
      </w:r>
      <w:r>
        <w:rPr>
          <w:rFonts w:ascii="Times New Roman" w:hAnsi="Times New Roman" w:eastAsia="Times New Roman" w:cs="Times New Roman"/>
          <w:color w:val="000000" w:themeColor="text1"/>
          <w:sz w:val="24"/>
          <w:szCs w:val="24"/>
          <w:highlight w:val="none"/>
          <w:u w:val="single"/>
          <w14:textFill>
            <w14:solidFill>
              <w14:schemeClr w14:val="tx1"/>
            </w14:solidFill>
          </w14:textFill>
        </w:rPr>
        <w:t>кодексом</w:t>
      </w:r>
      <w:r>
        <w:rPr>
          <w:rFonts w:ascii="Times New Roman" w:hAnsi="Times New Roman" w:eastAsia="Times New Roman" w:cs="Times New Roman"/>
          <w:color w:val="000000" w:themeColor="text1"/>
          <w:sz w:val="24"/>
          <w:szCs w:val="24"/>
          <w:highlight w:val="none"/>
          <w:u w:val="single"/>
          <w14:textFill>
            <w14:solidFill>
              <w14:schemeClr w14:val="tx1"/>
            </w14:solidFill>
          </w14:textFill>
        </w:rPr>
        <w:fldChar w:fldCharType="end"/>
      </w:r>
      <w:r>
        <w:rPr>
          <w:rFonts w:ascii="Times New Roman" w:hAnsi="Times New Roman" w:eastAsia="Times New Roman" w:cs="Times New Roman"/>
          <w:color w:val="000000" w:themeColor="text1"/>
          <w:sz w:val="24"/>
          <w:szCs w:val="24"/>
          <w:highlight w:val="none"/>
          <w14:textFill>
            <w14:solidFill>
              <w14:schemeClr w14:val="tx1"/>
            </w14:solidFill>
          </w14:textFill>
        </w:rPr>
        <w:t xml:space="preserve"> Российской Федерации.</w:t>
      </w:r>
    </w:p>
    <w:p w14:paraId="033A6C87">
      <w:pPr>
        <w:ind w:left="-15" w:firstLine="540"/>
        <w:jc w:val="both"/>
        <w:rPr>
          <w:rFonts w:ascii="Times New Roman" w:hAnsi="Times New Roman" w:eastAsia="Verdana" w:cs="Times New Roman"/>
          <w:color w:val="000000" w:themeColor="text1"/>
          <w:sz w:val="24"/>
          <w:szCs w:val="24"/>
          <w:highlight w:val="none"/>
          <w14:textFill>
            <w14:solidFill>
              <w14:schemeClr w14:val="tx1"/>
            </w14:solidFill>
          </w14:textFill>
        </w:rPr>
      </w:pPr>
      <w:r>
        <w:rPr>
          <w:rFonts w:ascii="Times New Roman" w:hAnsi="Times New Roman" w:eastAsia="Times New Roman" w:cs="Times New Roman"/>
          <w:color w:val="000000" w:themeColor="text1"/>
          <w:sz w:val="24"/>
          <w:szCs w:val="24"/>
          <w:highlight w:val="none"/>
          <w14:textFill>
            <w14:solidFill>
              <w14:schemeClr w14:val="tx1"/>
            </w14:solidFill>
          </w14:textFill>
        </w:rPr>
        <w:t>6.2. При приемке выполненных работ для подтверждения объемов и качества фактически выполненных подрядных работ по конструктивным решениям (элементам) и (или) комплексам (видам) работ, включенным в смету контракта, подрядчик представляет комплект первичных учетных документов, который определяется контрактом, а также исполнительную документацию.</w:t>
      </w:r>
    </w:p>
    <w:p w14:paraId="7EDC6115">
      <w:pPr>
        <w:ind w:left="-15" w:firstLine="540"/>
        <w:jc w:val="both"/>
        <w:rPr>
          <w:rFonts w:ascii="Times New Roman" w:hAnsi="Times New Roman" w:eastAsia="Times New Roman" w:cs="Times New Roman"/>
          <w:color w:val="000000" w:themeColor="text1"/>
          <w:sz w:val="24"/>
          <w:szCs w:val="24"/>
          <w:highlight w:val="none"/>
          <w14:textFill>
            <w14:solidFill>
              <w14:schemeClr w14:val="tx1"/>
            </w14:solidFill>
          </w14:textFill>
        </w:rPr>
      </w:pPr>
      <w:r>
        <w:rPr>
          <w:rFonts w:ascii="Times New Roman" w:hAnsi="Times New Roman" w:eastAsia="Times New Roman" w:cs="Times New Roman"/>
          <w:color w:val="000000" w:themeColor="text1"/>
          <w:sz w:val="24"/>
          <w:szCs w:val="24"/>
          <w:highlight w:val="none"/>
          <w14:textFill>
            <w14:solidFill>
              <w14:schemeClr w14:val="tx1"/>
            </w14:solidFill>
          </w14:textFill>
        </w:rPr>
        <w:t>6.3. При наличии необходимых средств в связи с перераспределением объемов финансирования с последующих периодов на более ранние периоды заказчик по согласованию с подрядчиком в соответствии с дополнительным соглашением о перераспределении объемов финансирования к контракту принимает досрочно выполненные подрядчиком работы и оплачивает их в соответствии с условиями контракта и графиком оплаты выполненных по контракту работ (при наличии такого графика).</w:t>
      </w:r>
    </w:p>
    <w:p w14:paraId="74D52953">
      <w:pPr>
        <w:widowControl w:val="0"/>
        <w:ind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 xml:space="preserve">6.4. Оформление результатов выполнения пусконаладочных работ и комплексного опробования оборудования осуществляется сторонами путём подготовки и подписания соответствующих актов, технического отчёта (протоколов испытаний) о проведенных работах, и исполнительной документацией. Данная документация должна быть передана Заказчику. </w:t>
      </w:r>
    </w:p>
    <w:p w14:paraId="7556CF0D">
      <w:pPr>
        <w:widowControl w:val="0"/>
        <w:ind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Промежуточная приемка</w:t>
      </w:r>
    </w:p>
    <w:p w14:paraId="0C19EA12">
      <w:pPr>
        <w:widowControl w:val="0"/>
        <w:ind w:left="-15"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 xml:space="preserve">6.5. Подрядчик предоставляет Заказчику Акт о приемке выполненных работ по форме в соответствии с Приложением № 5, Акт о приемке выполненных работ (по форме КС-2) и Справку о стоимости выполненных работ и затрат (по форме КС-3), в 3 (трех) экземплярах, исполнительную документацию, подготовленные на основании журналов производства работ на объекте (КС-6). </w:t>
      </w:r>
    </w:p>
    <w:p w14:paraId="4055EE0B">
      <w:pPr>
        <w:widowControl w:val="0"/>
        <w:ind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6.6. Заказчик в течение 5 (пяти) рабочих дней после получения документов, подписывает их, либо направляет Подрядчику мотивированный отказ от его подписания, с указанием причин отказа.</w:t>
      </w:r>
    </w:p>
    <w:p w14:paraId="2913C740">
      <w:pPr>
        <w:widowControl w:val="0"/>
        <w:ind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 xml:space="preserve">6.7. При этом стоимость выполненных работ за отчетный период определяется в соответствии с локальными сметами, являющимися частью проектной документации. </w:t>
      </w:r>
    </w:p>
    <w:p w14:paraId="7740B0F1">
      <w:pPr>
        <w:widowControl w:val="0"/>
        <w:ind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6.8. Общая сумма стоимости работ совокупно по Актам о приемке выполненных работ не может превышать установленную цену Контракта.</w:t>
      </w:r>
    </w:p>
    <w:p w14:paraId="1BC33A2F">
      <w:pPr>
        <w:widowControl w:val="0"/>
        <w:ind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6.9. Одновременно с Актом о приемке выполненных работ (по форме КС-2) Подрядчик обязан предоставить Заказчику комплект отчетной (исполнительной) документации, подписанный Подрядчиком, в 3 (трех) экземплярах.</w:t>
      </w:r>
    </w:p>
    <w:p w14:paraId="432BD07B">
      <w:pPr>
        <w:widowControl w:val="0"/>
        <w:ind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6.10. Стороны пришли к соглашению, что подписание Сторонами Акта о приемке выполненных работ не является предварительной приемкой результата Работ по Контракту в смысле ст. 720 ГК РФ и оформляется исключительно с целью осуществления взаиморасчетов между Сторонами.</w:t>
      </w:r>
    </w:p>
    <w:p w14:paraId="6AE6B408">
      <w:pPr>
        <w:widowControl w:val="0"/>
        <w:ind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6.11. После устранения выявленных Заказчиком недостатков сдача-приемка работ осуществляется Подрядчиком повторно.</w:t>
      </w:r>
    </w:p>
    <w:p w14:paraId="0DC231F7">
      <w:pPr>
        <w:widowControl w:val="0"/>
        <w:ind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Окончательная приемка</w:t>
      </w:r>
    </w:p>
    <w:p w14:paraId="5AB0633F">
      <w:pPr>
        <w:widowControl w:val="0"/>
        <w:ind w:left="-15"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6.12. Факт завершения строительно-монтажных работ по объекту оформляется подписанием итогового Акта о приемке выполненных работ.</w:t>
      </w:r>
    </w:p>
    <w:p w14:paraId="2F2AF7DC">
      <w:pPr>
        <w:widowControl w:val="0"/>
        <w:ind w:left="-15"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 xml:space="preserve">С последними Актом о приемке выполненных работ по форме в соответствии с Приложением № 5, Актом о приемке выполненных работ (по форме КС-2) и Справкой о стоимости выполненных работ и затрат (по форме КС-3), должен быть предоставлен документ, подтверждающий внесение Подрядчиком обеспечения гарантийных обязательств, а также акт о соответствии состояния земельного участка условиям Контракта. </w:t>
      </w:r>
    </w:p>
    <w:p w14:paraId="21047EE5">
      <w:pPr>
        <w:widowControl w:val="0"/>
        <w:ind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6.13. Подрядчик извещает Заказчика о готовности работ к окончательной приемке не позднее, чем за 10 (десять) дней до ее проведения. Окончательная приемка объекта осуществляется рабочей комиссией, создаваемой с участием представителей Заказчика, Подрядчика и других заинтересованных организаций. В случае, если в ходе проведения процедуры приемки объекта будут выявлены отдельные недостатки (дефекты) строительно-монтажных работ, которые не позволяют производить нормальную эксплуатацию выполненных указанных работ в соответствии с целевым назначением, Стороны обязаны составить протокол о недостатках (дефектах), в котором указывается перечень и характер выявленных недостатков (дефектов), а также срок, необходимый Подрядчику для их устранения. В любом случае установленный в протоколе о недостатках (дефектах) срок устранения выявленных нарушений при выполнении строительно-монтажных работ не может превышать 10 (десяти) рабочих дней. После устранения недостатков приемка объекта осуществляется повторно.</w:t>
      </w:r>
    </w:p>
    <w:p w14:paraId="59F7F1C7">
      <w:pPr>
        <w:widowControl w:val="0"/>
        <w:ind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6.14. Не позднее 20 (двадцати) дней после получения от Подрядчика документов о приёмке, Заказчик рассматривает результаты и осуществляет приемку Работ на предмет соответствия их объема, качества требованиям, изложенным в Контракте, технической и проектной документации; и направляет Подрядчику подписанные Заказчиком по одному экземпляру представленных документов, либо запрос о предоставлении разъяснений касательно результатов работ, или мотивированный отказ от принятия результатов выполненных работ.</w:t>
      </w:r>
    </w:p>
    <w:p w14:paraId="754B2142">
      <w:pPr>
        <w:widowControl w:val="0"/>
        <w:ind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6.15. В случае несогласия Подрядчика с выявленными Заказчиком недостатками для проверки соответствия качества выполненных Подрядчиком работ требованиям, установленным Контрактом, Заказчик вправе привлекать независимых экспертов, в том числе путем назначения соответствующих экспертиз. В случае если по результатам проведения указанных выше проверок качества работ будет подтверждено их несоответствие требованиям Контракта и приложений к нему, расходы, понесенные Заказчиком в связи с проверкой, а также причиненные таким несоответствием последнему убытки возлагаются на Подрядчика.</w:t>
      </w:r>
    </w:p>
    <w:p w14:paraId="2D86196E">
      <w:pPr>
        <w:widowControl w:val="0"/>
        <w:ind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6.16. В случае получения от Заказчика запроса о предоставлении разъяснений касательно результатов работ, или мотивированного отказа от принятия результатов выполненных работ, или акта с перечнем выявленных недостатков, необходимых доработок и сроком их устранения Подрядчик в течение 3 (трех) рабочих дней обязан предоставить Заказчику запрашиваемые разъяснения в отношении выполненных работ или в срок, установленный в указанном акте, содержащем перечень выявленных недостатков и необходимых доработок, устранить полученные от Заказчика замечания/недостатки/произвести доработки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 а также повторный подписанный Подрядчиком комплект отчетной (исполнительной) документации в 3 (двух) экземплярах для принятия Заказчиком выполненных работ.</w:t>
      </w:r>
    </w:p>
    <w:p w14:paraId="38A611E1">
      <w:pPr>
        <w:widowControl w:val="0"/>
        <w:ind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 xml:space="preserve">6.17. Заказчик, принявший этап работ или результат работ без проверки, не лишается права ссылаться на недостатки, которые могли быть установлены при обычном способе его приемки (явные недостатки). </w:t>
      </w:r>
    </w:p>
    <w:p w14:paraId="4A54F7B6">
      <w:pPr>
        <w:autoSpaceDE w:val="0"/>
        <w:autoSpaceDN w:val="0"/>
        <w:adjustRightInd w:val="0"/>
        <w:jc w:val="both"/>
        <w:rPr>
          <w:rFonts w:ascii="Times New Roman" w:hAnsi="Times New Roman" w:cs="Times New Roman"/>
          <w:color w:val="000000" w:themeColor="text1"/>
          <w:sz w:val="24"/>
          <w:szCs w:val="24"/>
          <w:highlight w:val="none"/>
          <w:lang w:eastAsia="en-US"/>
          <w14:textFill>
            <w14:solidFill>
              <w14:schemeClr w14:val="tx1"/>
            </w14:solidFill>
          </w14:textFill>
        </w:rPr>
      </w:pPr>
      <w:r>
        <w:rPr>
          <w:rFonts w:ascii="Times New Roman" w:hAnsi="Times New Roman" w:cs="Times New Roman"/>
          <w:color w:val="000000" w:themeColor="text1"/>
          <w:sz w:val="24"/>
          <w:szCs w:val="24"/>
          <w:highlight w:val="none"/>
          <w:lang w:eastAsia="en-US"/>
          <w14:textFill>
            <w14:solidFill>
              <w14:schemeClr w14:val="tx1"/>
            </w14:solidFill>
          </w14:textFill>
        </w:rPr>
        <w:t xml:space="preserve">             6.18. Подрядчик формирует с использованием единой информационной системы, подписывает усиленной электронной подписью лица, имеющего право действовать от имени поставщика (подрядчика, исполнителя), и размещает в единой информационной системе документ о приемке, который должен содержать:</w:t>
      </w:r>
    </w:p>
    <w:p w14:paraId="5FDDBF89">
      <w:pPr>
        <w:autoSpaceDE w:val="0"/>
        <w:autoSpaceDN w:val="0"/>
        <w:adjustRightInd w:val="0"/>
        <w:jc w:val="both"/>
        <w:rPr>
          <w:rFonts w:ascii="Times New Roman" w:hAnsi="Times New Roman" w:cs="Times New Roman"/>
          <w:color w:val="000000" w:themeColor="text1"/>
          <w:sz w:val="24"/>
          <w:szCs w:val="24"/>
          <w:highlight w:val="none"/>
          <w:lang w:eastAsia="en-US"/>
          <w14:textFill>
            <w14:solidFill>
              <w14:schemeClr w14:val="tx1"/>
            </w14:solidFill>
          </w14:textFill>
        </w:rPr>
      </w:pPr>
      <w:r>
        <w:rPr>
          <w:rFonts w:ascii="Times New Roman" w:hAnsi="Times New Roman" w:cs="Times New Roman"/>
          <w:color w:val="000000" w:themeColor="text1"/>
          <w:sz w:val="24"/>
          <w:szCs w:val="24"/>
          <w:highlight w:val="none"/>
          <w:lang w:eastAsia="en-US"/>
          <w14:textFill>
            <w14:solidFill>
              <w14:schemeClr w14:val="tx1"/>
            </w14:solidFill>
          </w14:textFill>
        </w:rPr>
        <w:t xml:space="preserve">а) включенные в контракт в соответствии с </w:t>
      </w:r>
      <w:r>
        <w:rPr>
          <w:highlight w:val="none"/>
        </w:rPr>
        <w:fldChar w:fldCharType="begin"/>
      </w:r>
      <w:r>
        <w:rPr>
          <w:highlight w:val="none"/>
        </w:rPr>
        <w:instrText xml:space="preserve"> HYPERLINK "consultantplus://offline/ref=C5B5A5E6B836FEF6F34B9B9E103EC5BE564888D4BEC017BF8A6099D11267EAB6954EBD008ABDF022969EEA148945B8E81DE8F74F558ED7aDH" </w:instrText>
      </w:r>
      <w:r>
        <w:rPr>
          <w:highlight w:val="none"/>
        </w:rPr>
        <w:fldChar w:fldCharType="separate"/>
      </w:r>
      <w:r>
        <w:rPr>
          <w:rFonts w:ascii="Times New Roman" w:hAnsi="Times New Roman" w:cs="Times New Roman"/>
          <w:color w:val="000000" w:themeColor="text1"/>
          <w:sz w:val="24"/>
          <w:szCs w:val="24"/>
          <w:highlight w:val="none"/>
          <w:lang w:eastAsia="en-US"/>
          <w14:textFill>
            <w14:solidFill>
              <w14:schemeClr w14:val="tx1"/>
            </w14:solidFill>
          </w14:textFill>
        </w:rPr>
        <w:t>пунктом 1 части 2 статьи 51</w:t>
      </w:r>
      <w:r>
        <w:rPr>
          <w:rFonts w:ascii="Times New Roman" w:hAnsi="Times New Roman" w:cs="Times New Roman"/>
          <w:color w:val="000000" w:themeColor="text1"/>
          <w:sz w:val="24"/>
          <w:szCs w:val="24"/>
          <w:highlight w:val="none"/>
          <w:lang w:eastAsia="en-US"/>
          <w14:textFill>
            <w14:solidFill>
              <w14:schemeClr w14:val="tx1"/>
            </w14:solidFill>
          </w14:textFill>
        </w:rPr>
        <w:fldChar w:fldCharType="end"/>
      </w:r>
      <w:r>
        <w:rPr>
          <w:rFonts w:ascii="Times New Roman" w:hAnsi="Times New Roman" w:cs="Times New Roman"/>
          <w:color w:val="000000" w:themeColor="text1"/>
          <w:sz w:val="24"/>
          <w:szCs w:val="24"/>
          <w:highlight w:val="none"/>
          <w:lang w:eastAsia="en-US"/>
          <w14:textFill>
            <w14:solidFill>
              <w14:schemeClr w14:val="tx1"/>
            </w14:solidFill>
          </w14:textFill>
        </w:rPr>
        <w:t xml:space="preserve"> Федерального закона "О контрактной системе в сфере закупок товаров, работ, услуг для обеспечения государственных и муниципальных нужд" идентификационный код закупки, наименование, место нахождения заказчика, наименование объекта закупки, место поставки товара, выполнения работы, оказания услуги, информацию о поставщике (подрядчике, исполнителе), предусмотренную </w:t>
      </w:r>
      <w:r>
        <w:rPr>
          <w:highlight w:val="none"/>
        </w:rPr>
        <w:fldChar w:fldCharType="begin"/>
      </w:r>
      <w:r>
        <w:rPr>
          <w:highlight w:val="none"/>
        </w:rPr>
        <w:instrText xml:space="preserve"> HYPERLINK "consultantplus://offline/ref=C5B5A5E6B836FEF6F34B9B9E103EC5BE564888D4BEC017BF8A6099D11267EAB6954EBD008FBDF422969EEA148945B8E81DE8F74F558ED7aDH" </w:instrText>
      </w:r>
      <w:r>
        <w:rPr>
          <w:highlight w:val="none"/>
        </w:rPr>
        <w:fldChar w:fldCharType="separate"/>
      </w:r>
      <w:r>
        <w:rPr>
          <w:rFonts w:ascii="Times New Roman" w:hAnsi="Times New Roman" w:cs="Times New Roman"/>
          <w:color w:val="000000" w:themeColor="text1"/>
          <w:sz w:val="24"/>
          <w:szCs w:val="24"/>
          <w:highlight w:val="none"/>
          <w:lang w:eastAsia="en-US"/>
          <w14:textFill>
            <w14:solidFill>
              <w14:schemeClr w14:val="tx1"/>
            </w14:solidFill>
          </w14:textFill>
        </w:rPr>
        <w:t>подпунктами "а"</w:t>
      </w:r>
      <w:r>
        <w:rPr>
          <w:rFonts w:ascii="Times New Roman" w:hAnsi="Times New Roman" w:cs="Times New Roman"/>
          <w:color w:val="000000" w:themeColor="text1"/>
          <w:sz w:val="24"/>
          <w:szCs w:val="24"/>
          <w:highlight w:val="none"/>
          <w:lang w:eastAsia="en-US"/>
          <w14:textFill>
            <w14:solidFill>
              <w14:schemeClr w14:val="tx1"/>
            </w14:solidFill>
          </w14:textFill>
        </w:rPr>
        <w:fldChar w:fldCharType="end"/>
      </w:r>
      <w:r>
        <w:rPr>
          <w:rFonts w:ascii="Times New Roman" w:hAnsi="Times New Roman" w:cs="Times New Roman"/>
          <w:color w:val="000000" w:themeColor="text1"/>
          <w:sz w:val="24"/>
          <w:szCs w:val="24"/>
          <w:highlight w:val="none"/>
          <w:lang w:eastAsia="en-US"/>
          <w14:textFill>
            <w14:solidFill>
              <w14:schemeClr w14:val="tx1"/>
            </w14:solidFill>
          </w14:textFill>
        </w:rPr>
        <w:t xml:space="preserve">, </w:t>
      </w:r>
      <w:r>
        <w:rPr>
          <w:highlight w:val="none"/>
        </w:rPr>
        <w:fldChar w:fldCharType="begin"/>
      </w:r>
      <w:r>
        <w:rPr>
          <w:highlight w:val="none"/>
        </w:rPr>
        <w:instrText xml:space="preserve"> HYPERLINK "consultantplus://offline/ref=C5B5A5E6B836FEF6F34B9B9E103EC5BE564888D4BEC017BF8A6099D11267EAB6954EBD008FBDFB22969EEA148945B8E81DE8F74F558ED7aDH" </w:instrText>
      </w:r>
      <w:r>
        <w:rPr>
          <w:highlight w:val="none"/>
        </w:rPr>
        <w:fldChar w:fldCharType="separate"/>
      </w:r>
      <w:r>
        <w:rPr>
          <w:rFonts w:ascii="Times New Roman" w:hAnsi="Times New Roman" w:cs="Times New Roman"/>
          <w:color w:val="000000" w:themeColor="text1"/>
          <w:sz w:val="24"/>
          <w:szCs w:val="24"/>
          <w:highlight w:val="none"/>
          <w:lang w:eastAsia="en-US"/>
          <w14:textFill>
            <w14:solidFill>
              <w14:schemeClr w14:val="tx1"/>
            </w14:solidFill>
          </w14:textFill>
        </w:rPr>
        <w:t>"г"</w:t>
      </w:r>
      <w:r>
        <w:rPr>
          <w:rFonts w:ascii="Times New Roman" w:hAnsi="Times New Roman" w:cs="Times New Roman"/>
          <w:color w:val="000000" w:themeColor="text1"/>
          <w:sz w:val="24"/>
          <w:szCs w:val="24"/>
          <w:highlight w:val="none"/>
          <w:lang w:eastAsia="en-US"/>
          <w14:textFill>
            <w14:solidFill>
              <w14:schemeClr w14:val="tx1"/>
            </w14:solidFill>
          </w14:textFill>
        </w:rPr>
        <w:fldChar w:fldCharType="end"/>
      </w:r>
      <w:r>
        <w:rPr>
          <w:rFonts w:ascii="Times New Roman" w:hAnsi="Times New Roman" w:cs="Times New Roman"/>
          <w:color w:val="000000" w:themeColor="text1"/>
          <w:sz w:val="24"/>
          <w:szCs w:val="24"/>
          <w:highlight w:val="none"/>
          <w:lang w:eastAsia="en-US"/>
          <w14:textFill>
            <w14:solidFill>
              <w14:schemeClr w14:val="tx1"/>
            </w14:solidFill>
          </w14:textFill>
        </w:rPr>
        <w:t xml:space="preserve"> и </w:t>
      </w:r>
      <w:r>
        <w:rPr>
          <w:highlight w:val="none"/>
        </w:rPr>
        <w:fldChar w:fldCharType="begin"/>
      </w:r>
      <w:r>
        <w:rPr>
          <w:highlight w:val="none"/>
        </w:rPr>
        <w:instrText xml:space="preserve"> HYPERLINK "consultantplus://offline/ref=C5B5A5E6B836FEF6F34B9B9E103EC5BE564888D4BEC017BF8A6099D11267EAB6954EBD008FBCF322969EEA148945B8E81DE8F74F558ED7aDH" </w:instrText>
      </w:r>
      <w:r>
        <w:rPr>
          <w:highlight w:val="none"/>
        </w:rPr>
        <w:fldChar w:fldCharType="separate"/>
      </w:r>
      <w:r>
        <w:rPr>
          <w:rFonts w:ascii="Times New Roman" w:hAnsi="Times New Roman" w:cs="Times New Roman"/>
          <w:color w:val="000000" w:themeColor="text1"/>
          <w:sz w:val="24"/>
          <w:szCs w:val="24"/>
          <w:highlight w:val="none"/>
          <w:lang w:eastAsia="en-US"/>
          <w14:textFill>
            <w14:solidFill>
              <w14:schemeClr w14:val="tx1"/>
            </w14:solidFill>
          </w14:textFill>
        </w:rPr>
        <w:t>"е" части 1 статьи 43</w:t>
      </w:r>
      <w:r>
        <w:rPr>
          <w:rFonts w:ascii="Times New Roman" w:hAnsi="Times New Roman" w:cs="Times New Roman"/>
          <w:color w:val="000000" w:themeColor="text1"/>
          <w:sz w:val="24"/>
          <w:szCs w:val="24"/>
          <w:highlight w:val="none"/>
          <w:lang w:eastAsia="en-US"/>
          <w14:textFill>
            <w14:solidFill>
              <w14:schemeClr w14:val="tx1"/>
            </w14:solidFill>
          </w14:textFill>
        </w:rPr>
        <w:fldChar w:fldCharType="end"/>
      </w:r>
      <w:r>
        <w:rPr>
          <w:rFonts w:ascii="Times New Roman" w:hAnsi="Times New Roman" w:cs="Times New Roman"/>
          <w:color w:val="000000" w:themeColor="text1"/>
          <w:sz w:val="24"/>
          <w:szCs w:val="24"/>
          <w:highlight w:val="none"/>
          <w:lang w:eastAsia="en-US"/>
          <w14:textFill>
            <w14:solidFill>
              <w14:schemeClr w14:val="tx1"/>
            </w14:solidFill>
          </w14:textFill>
        </w:rPr>
        <w:t xml:space="preserve"> Федерального закона "О контрактной системе в сфере закупок товаров, работ, услуг для обеспечения государственных и муниципальных нужд", единицу измерения поставленного товара (при осуществлении закупки товара, в том числе поставляемого заказчику при выполнении закупаемых работ, оказании закупаемых услуг), выполненной работы, оказанной услуги;</w:t>
      </w:r>
    </w:p>
    <w:p w14:paraId="71000AA9">
      <w:pPr>
        <w:autoSpaceDE w:val="0"/>
        <w:autoSpaceDN w:val="0"/>
        <w:adjustRightInd w:val="0"/>
        <w:spacing w:before="200"/>
        <w:ind w:firstLine="540"/>
        <w:jc w:val="both"/>
        <w:rPr>
          <w:rFonts w:ascii="Times New Roman" w:hAnsi="Times New Roman" w:cs="Times New Roman"/>
          <w:color w:val="000000" w:themeColor="text1"/>
          <w:sz w:val="24"/>
          <w:szCs w:val="24"/>
          <w:highlight w:val="none"/>
          <w:lang w:eastAsia="en-US"/>
          <w14:textFill>
            <w14:solidFill>
              <w14:schemeClr w14:val="tx1"/>
            </w14:solidFill>
          </w14:textFill>
        </w:rPr>
      </w:pPr>
      <w:r>
        <w:rPr>
          <w:rFonts w:ascii="Times New Roman" w:hAnsi="Times New Roman" w:cs="Times New Roman"/>
          <w:color w:val="000000" w:themeColor="text1"/>
          <w:sz w:val="24"/>
          <w:szCs w:val="24"/>
          <w:highlight w:val="none"/>
          <w:lang w:eastAsia="en-US"/>
          <w14:textFill>
            <w14:solidFill>
              <w14:schemeClr w14:val="tx1"/>
            </w14:solidFill>
          </w14:textFill>
        </w:rPr>
        <w:t>б) наименование поставленного товара, выполненной работы, оказанной услуги;</w:t>
      </w:r>
    </w:p>
    <w:p w14:paraId="11355811">
      <w:pPr>
        <w:autoSpaceDE w:val="0"/>
        <w:autoSpaceDN w:val="0"/>
        <w:adjustRightInd w:val="0"/>
        <w:spacing w:before="200"/>
        <w:ind w:firstLine="540"/>
        <w:jc w:val="both"/>
        <w:rPr>
          <w:rFonts w:ascii="Times New Roman" w:hAnsi="Times New Roman" w:cs="Times New Roman"/>
          <w:color w:val="000000" w:themeColor="text1"/>
          <w:sz w:val="24"/>
          <w:szCs w:val="24"/>
          <w:highlight w:val="none"/>
          <w:lang w:eastAsia="en-US"/>
          <w14:textFill>
            <w14:solidFill>
              <w14:schemeClr w14:val="tx1"/>
            </w14:solidFill>
          </w14:textFill>
        </w:rPr>
      </w:pPr>
      <w:r>
        <w:rPr>
          <w:rFonts w:ascii="Times New Roman" w:hAnsi="Times New Roman" w:cs="Times New Roman"/>
          <w:color w:val="000000" w:themeColor="text1"/>
          <w:sz w:val="24"/>
          <w:szCs w:val="24"/>
          <w:highlight w:val="none"/>
          <w:lang w:eastAsia="en-US"/>
          <w14:textFill>
            <w14:solidFill>
              <w14:schemeClr w14:val="tx1"/>
            </w14:solidFill>
          </w14:textFill>
        </w:rPr>
        <w:t>в) наименование страны происхождения поставленного товара (при осуществлении закупки товара, в том числе поставляемого заказчику при выполнении закупаемых работ, оказании закупаемых услуг);</w:t>
      </w:r>
    </w:p>
    <w:p w14:paraId="0C03FAB6">
      <w:pPr>
        <w:autoSpaceDE w:val="0"/>
        <w:autoSpaceDN w:val="0"/>
        <w:adjustRightInd w:val="0"/>
        <w:spacing w:before="200"/>
        <w:ind w:firstLine="540"/>
        <w:jc w:val="both"/>
        <w:rPr>
          <w:rFonts w:ascii="Times New Roman" w:hAnsi="Times New Roman" w:cs="Times New Roman"/>
          <w:color w:val="000000" w:themeColor="text1"/>
          <w:sz w:val="24"/>
          <w:szCs w:val="24"/>
          <w:highlight w:val="none"/>
          <w:lang w:eastAsia="en-US"/>
          <w14:textFill>
            <w14:solidFill>
              <w14:schemeClr w14:val="tx1"/>
            </w14:solidFill>
          </w14:textFill>
        </w:rPr>
      </w:pPr>
      <w:r>
        <w:rPr>
          <w:rFonts w:ascii="Times New Roman" w:hAnsi="Times New Roman" w:cs="Times New Roman"/>
          <w:color w:val="000000" w:themeColor="text1"/>
          <w:sz w:val="24"/>
          <w:szCs w:val="24"/>
          <w:highlight w:val="none"/>
          <w:lang w:eastAsia="en-US"/>
          <w14:textFill>
            <w14:solidFill>
              <w14:schemeClr w14:val="tx1"/>
            </w14:solidFill>
          </w14:textFill>
        </w:rPr>
        <w:t>г) информацию о количестве поставленного товара (при осуществлении закупки товара, в том числе поставляемого заказчику при выполнении закупаемых работ, оказании закупаемых услуг);</w:t>
      </w:r>
    </w:p>
    <w:p w14:paraId="3F4FF83A">
      <w:pPr>
        <w:autoSpaceDE w:val="0"/>
        <w:autoSpaceDN w:val="0"/>
        <w:adjustRightInd w:val="0"/>
        <w:spacing w:before="200"/>
        <w:ind w:firstLine="540"/>
        <w:jc w:val="both"/>
        <w:rPr>
          <w:rFonts w:ascii="Times New Roman" w:hAnsi="Times New Roman" w:cs="Times New Roman"/>
          <w:color w:val="000000" w:themeColor="text1"/>
          <w:sz w:val="24"/>
          <w:szCs w:val="24"/>
          <w:highlight w:val="none"/>
          <w:lang w:eastAsia="en-US"/>
          <w14:textFill>
            <w14:solidFill>
              <w14:schemeClr w14:val="tx1"/>
            </w14:solidFill>
          </w14:textFill>
        </w:rPr>
      </w:pPr>
      <w:r>
        <w:rPr>
          <w:rFonts w:ascii="Times New Roman" w:hAnsi="Times New Roman" w:cs="Times New Roman"/>
          <w:color w:val="000000" w:themeColor="text1"/>
          <w:sz w:val="24"/>
          <w:szCs w:val="24"/>
          <w:highlight w:val="none"/>
          <w:lang w:eastAsia="en-US"/>
          <w14:textFill>
            <w14:solidFill>
              <w14:schemeClr w14:val="tx1"/>
            </w14:solidFill>
          </w14:textFill>
        </w:rPr>
        <w:t>д) информацию об объеме выполненной работы, оказанной услуги;</w:t>
      </w:r>
    </w:p>
    <w:p w14:paraId="731FD105">
      <w:pPr>
        <w:autoSpaceDE w:val="0"/>
        <w:autoSpaceDN w:val="0"/>
        <w:adjustRightInd w:val="0"/>
        <w:spacing w:before="200"/>
        <w:ind w:firstLine="540"/>
        <w:jc w:val="both"/>
        <w:rPr>
          <w:rFonts w:ascii="Times New Roman" w:hAnsi="Times New Roman" w:cs="Times New Roman"/>
          <w:color w:val="000000" w:themeColor="text1"/>
          <w:sz w:val="24"/>
          <w:szCs w:val="24"/>
          <w:highlight w:val="none"/>
          <w:lang w:eastAsia="en-US"/>
          <w14:textFill>
            <w14:solidFill>
              <w14:schemeClr w14:val="tx1"/>
            </w14:solidFill>
          </w14:textFill>
        </w:rPr>
      </w:pPr>
      <w:r>
        <w:rPr>
          <w:rFonts w:ascii="Times New Roman" w:hAnsi="Times New Roman" w:cs="Times New Roman"/>
          <w:color w:val="000000" w:themeColor="text1"/>
          <w:sz w:val="24"/>
          <w:szCs w:val="24"/>
          <w:highlight w:val="none"/>
          <w:lang w:eastAsia="en-US"/>
          <w14:textFill>
            <w14:solidFill>
              <w14:schemeClr w14:val="tx1"/>
            </w14:solidFill>
          </w14:textFill>
        </w:rPr>
        <w:t>е) стоимость исполненных поставщиком (подрядчиком, исполнителем) обязательств, предусмотренных контрактом, с указанием цены за единицу поставленного товара (при осуществлении закупки товара, в том числе поставляемого заказчику при выполнении закупаемых работ, оказании закупаемых услуг), выполненной работы, оказанной услуги;</w:t>
      </w:r>
    </w:p>
    <w:p w14:paraId="7B2079F1">
      <w:pPr>
        <w:autoSpaceDE w:val="0"/>
        <w:autoSpaceDN w:val="0"/>
        <w:adjustRightInd w:val="0"/>
        <w:spacing w:before="200"/>
        <w:ind w:firstLine="540"/>
        <w:jc w:val="both"/>
        <w:rPr>
          <w:rFonts w:ascii="Times New Roman" w:hAnsi="Times New Roman" w:cs="Times New Roman"/>
          <w:color w:val="000000" w:themeColor="text1"/>
          <w:sz w:val="24"/>
          <w:szCs w:val="24"/>
          <w:highlight w:val="none"/>
          <w:lang w:eastAsia="en-US"/>
          <w14:textFill>
            <w14:solidFill>
              <w14:schemeClr w14:val="tx1"/>
            </w14:solidFill>
          </w14:textFill>
        </w:rPr>
      </w:pPr>
      <w:r>
        <w:rPr>
          <w:rFonts w:ascii="Times New Roman" w:hAnsi="Times New Roman" w:cs="Times New Roman"/>
          <w:color w:val="000000" w:themeColor="text1"/>
          <w:sz w:val="24"/>
          <w:szCs w:val="24"/>
          <w:highlight w:val="none"/>
          <w:lang w:eastAsia="en-US"/>
          <w14:textFill>
            <w14:solidFill>
              <w14:schemeClr w14:val="tx1"/>
            </w14:solidFill>
          </w14:textFill>
        </w:rPr>
        <w:t xml:space="preserve">ж) иную информацию с учетом требований, установленных в соответствии с </w:t>
      </w:r>
      <w:r>
        <w:rPr>
          <w:highlight w:val="none"/>
        </w:rPr>
        <w:fldChar w:fldCharType="begin"/>
      </w:r>
      <w:r>
        <w:rPr>
          <w:highlight w:val="none"/>
        </w:rPr>
        <w:instrText xml:space="preserve"> HYPERLINK "consultantplus://offline/ref=C5B5A5E6B836FEF6F34B9B9E103EC5BE564888D4BEC017BF8A6099D11267EAB6954EBD008CB7F522969EEA148945B8E81DE8F74F558ED7aDH" </w:instrText>
      </w:r>
      <w:r>
        <w:rPr>
          <w:highlight w:val="none"/>
        </w:rPr>
        <w:fldChar w:fldCharType="separate"/>
      </w:r>
      <w:r>
        <w:rPr>
          <w:rFonts w:ascii="Times New Roman" w:hAnsi="Times New Roman" w:cs="Times New Roman"/>
          <w:color w:val="000000" w:themeColor="text1"/>
          <w:sz w:val="24"/>
          <w:szCs w:val="24"/>
          <w:highlight w:val="none"/>
          <w:lang w:eastAsia="en-US"/>
          <w14:textFill>
            <w14:solidFill>
              <w14:schemeClr w14:val="tx1"/>
            </w14:solidFill>
          </w14:textFill>
        </w:rPr>
        <w:t>частью 3 статьи 5</w:t>
      </w:r>
      <w:r>
        <w:rPr>
          <w:rFonts w:ascii="Times New Roman" w:hAnsi="Times New Roman" w:cs="Times New Roman"/>
          <w:color w:val="000000" w:themeColor="text1"/>
          <w:sz w:val="24"/>
          <w:szCs w:val="24"/>
          <w:highlight w:val="none"/>
          <w:lang w:eastAsia="en-US"/>
          <w14:textFill>
            <w14:solidFill>
              <w14:schemeClr w14:val="tx1"/>
            </w14:solidFill>
          </w14:textFill>
        </w:rPr>
        <w:fldChar w:fldCharType="end"/>
      </w:r>
      <w:r>
        <w:rPr>
          <w:rFonts w:ascii="Times New Roman" w:hAnsi="Times New Roman" w:cs="Times New Roman"/>
          <w:color w:val="000000" w:themeColor="text1"/>
          <w:sz w:val="24"/>
          <w:szCs w:val="24"/>
          <w:highlight w:val="none"/>
          <w:lang w:eastAsia="en-US"/>
          <w14:textFill>
            <w14:solidFill>
              <w14:schemeClr w14:val="tx1"/>
            </w14:solidFill>
          </w14:textFill>
        </w:rPr>
        <w:t xml:space="preserve"> Федерального закона "О контрактной системе в сфере закупок товаров, работ, услуг для обеспечения государственных и муниципальных нужд" .</w:t>
      </w:r>
    </w:p>
    <w:p w14:paraId="34E78342">
      <w:pPr>
        <w:autoSpaceDE w:val="0"/>
        <w:autoSpaceDN w:val="0"/>
        <w:adjustRightInd w:val="0"/>
        <w:jc w:val="both"/>
        <w:rPr>
          <w:rFonts w:ascii="Times New Roman" w:hAnsi="Times New Roman" w:cs="Times New Roman"/>
          <w:color w:val="000000" w:themeColor="text1"/>
          <w:sz w:val="24"/>
          <w:szCs w:val="24"/>
          <w:highlight w:val="none"/>
          <w:lang w:eastAsia="en-US"/>
          <w14:textFill>
            <w14:solidFill>
              <w14:schemeClr w14:val="tx1"/>
            </w14:solidFill>
          </w14:textFill>
        </w:rPr>
      </w:pPr>
      <w:r>
        <w:rPr>
          <w:rFonts w:ascii="Times New Roman" w:hAnsi="Times New Roman" w:cs="Times New Roman"/>
          <w:color w:val="000000" w:themeColor="text1"/>
          <w:sz w:val="24"/>
          <w:szCs w:val="24"/>
          <w:highlight w:val="none"/>
          <w:lang w:eastAsia="en-US"/>
          <w14:textFill>
            <w14:solidFill>
              <w14:schemeClr w14:val="tx1"/>
            </w14:solidFill>
          </w14:textFill>
        </w:rPr>
        <w:t xml:space="preserve">          6.19. К документу о приемке могут прилагаться документы, которые считаются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предусмотренная пунктом 7.1 Контракта, содержащаяся в документе о приемке;</w:t>
      </w:r>
    </w:p>
    <w:p w14:paraId="48465676">
      <w:pPr>
        <w:autoSpaceDE w:val="0"/>
        <w:autoSpaceDN w:val="0"/>
        <w:adjustRightInd w:val="0"/>
        <w:spacing w:before="200"/>
        <w:ind w:firstLine="540"/>
        <w:jc w:val="both"/>
        <w:rPr>
          <w:rFonts w:ascii="Times New Roman" w:hAnsi="Times New Roman" w:cs="Times New Roman"/>
          <w:color w:val="000000" w:themeColor="text1"/>
          <w:sz w:val="24"/>
          <w:szCs w:val="24"/>
          <w:highlight w:val="none"/>
          <w:lang w:eastAsia="en-US"/>
          <w14:textFill>
            <w14:solidFill>
              <w14:schemeClr w14:val="tx1"/>
            </w14:solidFill>
          </w14:textFill>
        </w:rPr>
      </w:pPr>
      <w:bookmarkStart w:id="1" w:name="Par1"/>
      <w:bookmarkEnd w:id="1"/>
      <w:r>
        <w:rPr>
          <w:rFonts w:ascii="Times New Roman" w:hAnsi="Times New Roman" w:cs="Times New Roman"/>
          <w:color w:val="000000" w:themeColor="text1"/>
          <w:sz w:val="24"/>
          <w:szCs w:val="24"/>
          <w:highlight w:val="none"/>
          <w:lang w:eastAsia="en-US"/>
          <w14:textFill>
            <w14:solidFill>
              <w14:schemeClr w14:val="tx1"/>
            </w14:solidFill>
          </w14:textFill>
        </w:rPr>
        <w:t>6.20. Документ о приемке, подписанный поставщиком (подрядчиком, исполнителем), не позднее одного часа с момента его размещения в единой информационной системе автоматически с использованием единой информационной системы направляется заказчику. Датой поступления заказчику документа о приемке, подписанного поставщиком (подрядчиком, исполнителем), считается дата размещения в соответствии с настоящим пунктом такого документа в единой информационной системе в соответствии с часовой зоной, в которой расположен заказчик;</w:t>
      </w:r>
    </w:p>
    <w:p w14:paraId="7B31FBE0">
      <w:pPr>
        <w:autoSpaceDE w:val="0"/>
        <w:autoSpaceDN w:val="0"/>
        <w:adjustRightInd w:val="0"/>
        <w:spacing w:before="200"/>
        <w:ind w:firstLine="540"/>
        <w:jc w:val="both"/>
        <w:rPr>
          <w:rFonts w:ascii="Times New Roman" w:hAnsi="Times New Roman" w:cs="Times New Roman"/>
          <w:color w:val="000000" w:themeColor="text1"/>
          <w:sz w:val="24"/>
          <w:szCs w:val="24"/>
          <w:highlight w:val="none"/>
          <w:lang w:eastAsia="en-US"/>
          <w14:textFill>
            <w14:solidFill>
              <w14:schemeClr w14:val="tx1"/>
            </w14:solidFill>
          </w14:textFill>
        </w:rPr>
      </w:pPr>
      <w:r>
        <w:rPr>
          <w:rFonts w:ascii="Times New Roman" w:hAnsi="Times New Roman" w:cs="Times New Roman"/>
          <w:color w:val="000000" w:themeColor="text1"/>
          <w:sz w:val="24"/>
          <w:szCs w:val="24"/>
          <w:highlight w:val="none"/>
          <w:lang w:eastAsia="en-US"/>
          <w14:textFill>
            <w14:solidFill>
              <w14:schemeClr w14:val="tx1"/>
            </w14:solidFill>
          </w14:textFill>
        </w:rPr>
        <w:t>6.21. В срок не позднее двадцати рабочих дней, следующих за днем поступления документа о приемке заказчик (за исключением случая создания приемочной комиссии) осуществляет одно из следующих действий:</w:t>
      </w:r>
    </w:p>
    <w:p w14:paraId="4322A701">
      <w:pPr>
        <w:autoSpaceDE w:val="0"/>
        <w:autoSpaceDN w:val="0"/>
        <w:adjustRightInd w:val="0"/>
        <w:spacing w:before="200"/>
        <w:ind w:firstLine="540"/>
        <w:jc w:val="both"/>
        <w:rPr>
          <w:rFonts w:ascii="Times New Roman" w:hAnsi="Times New Roman" w:cs="Times New Roman"/>
          <w:color w:val="000000" w:themeColor="text1"/>
          <w:sz w:val="24"/>
          <w:szCs w:val="24"/>
          <w:highlight w:val="none"/>
          <w:lang w:eastAsia="en-US"/>
          <w14:textFill>
            <w14:solidFill>
              <w14:schemeClr w14:val="tx1"/>
            </w14:solidFill>
          </w14:textFill>
        </w:rPr>
      </w:pPr>
      <w:bookmarkStart w:id="2" w:name="Par3"/>
      <w:bookmarkEnd w:id="2"/>
      <w:r>
        <w:rPr>
          <w:rFonts w:ascii="Times New Roman" w:hAnsi="Times New Roman" w:cs="Times New Roman"/>
          <w:color w:val="000000" w:themeColor="text1"/>
          <w:sz w:val="24"/>
          <w:szCs w:val="24"/>
          <w:highlight w:val="none"/>
          <w:lang w:eastAsia="en-US"/>
          <w14:textFill>
            <w14:solidFill>
              <w14:schemeClr w14:val="tx1"/>
            </w14:solidFill>
          </w14:textFill>
        </w:rPr>
        <w:t>а) подписывает усиленной электронной подписью лица, имеющего право действовать от имени заказчика, и размещает в единой информационной системе документ о приемке;</w:t>
      </w:r>
    </w:p>
    <w:p w14:paraId="37372375">
      <w:pPr>
        <w:autoSpaceDE w:val="0"/>
        <w:autoSpaceDN w:val="0"/>
        <w:adjustRightInd w:val="0"/>
        <w:spacing w:before="200"/>
        <w:ind w:firstLine="540"/>
        <w:jc w:val="both"/>
        <w:rPr>
          <w:rFonts w:ascii="Times New Roman" w:hAnsi="Times New Roman" w:cs="Times New Roman"/>
          <w:color w:val="000000" w:themeColor="text1"/>
          <w:sz w:val="24"/>
          <w:szCs w:val="24"/>
          <w:highlight w:val="none"/>
          <w:lang w:eastAsia="en-US"/>
          <w14:textFill>
            <w14:solidFill>
              <w14:schemeClr w14:val="tx1"/>
            </w14:solidFill>
          </w14:textFill>
        </w:rPr>
      </w:pPr>
      <w:bookmarkStart w:id="3" w:name="Par4"/>
      <w:bookmarkEnd w:id="3"/>
      <w:r>
        <w:rPr>
          <w:rFonts w:ascii="Times New Roman" w:hAnsi="Times New Roman" w:cs="Times New Roman"/>
          <w:color w:val="000000" w:themeColor="text1"/>
          <w:sz w:val="24"/>
          <w:szCs w:val="24"/>
          <w:highlight w:val="none"/>
          <w:lang w:eastAsia="en-US"/>
          <w14:textFill>
            <w14:solidFill>
              <w14:schemeClr w14:val="tx1"/>
            </w14:solidFill>
          </w14:textFill>
        </w:rPr>
        <w:t>б) формирует с использованием единой информационной системы, подписывает усиленной электронной подписью лица, имеющего право действовать от имени заказчика, и размещает в единой информационной системе мотивированный отказ от подписания документа о приемке с указанием причин такого отказа;</w:t>
      </w:r>
    </w:p>
    <w:p w14:paraId="7487EB06">
      <w:pPr>
        <w:autoSpaceDE w:val="0"/>
        <w:autoSpaceDN w:val="0"/>
        <w:adjustRightInd w:val="0"/>
        <w:spacing w:before="200"/>
        <w:ind w:firstLine="540"/>
        <w:jc w:val="both"/>
        <w:rPr>
          <w:rFonts w:ascii="Times New Roman" w:hAnsi="Times New Roman" w:cs="Times New Roman"/>
          <w:color w:val="000000" w:themeColor="text1"/>
          <w:sz w:val="24"/>
          <w:szCs w:val="24"/>
          <w:highlight w:val="none"/>
          <w:lang w:eastAsia="en-US"/>
          <w14:textFill>
            <w14:solidFill>
              <w14:schemeClr w14:val="tx1"/>
            </w14:solidFill>
          </w14:textFill>
        </w:rPr>
      </w:pPr>
      <w:r>
        <w:rPr>
          <w:rFonts w:ascii="Times New Roman" w:hAnsi="Times New Roman" w:cs="Times New Roman"/>
          <w:color w:val="000000" w:themeColor="text1"/>
          <w:sz w:val="24"/>
          <w:szCs w:val="24"/>
          <w:highlight w:val="none"/>
          <w:lang w:eastAsia="en-US"/>
          <w14:textFill>
            <w14:solidFill>
              <w14:schemeClr w14:val="tx1"/>
            </w14:solidFill>
          </w14:textFill>
        </w:rPr>
        <w:t>6.22. В случае создания приемочной комиссии не позднее двадцати рабочих дней, следующих за днем поступления заказчику документа о приемке:</w:t>
      </w:r>
    </w:p>
    <w:p w14:paraId="6047DDD6">
      <w:pPr>
        <w:autoSpaceDE w:val="0"/>
        <w:autoSpaceDN w:val="0"/>
        <w:adjustRightInd w:val="0"/>
        <w:spacing w:before="200"/>
        <w:ind w:firstLine="540"/>
        <w:jc w:val="both"/>
        <w:rPr>
          <w:rFonts w:ascii="Times New Roman" w:hAnsi="Times New Roman" w:cs="Times New Roman"/>
          <w:color w:val="000000" w:themeColor="text1"/>
          <w:sz w:val="24"/>
          <w:szCs w:val="24"/>
          <w:highlight w:val="none"/>
          <w:lang w:eastAsia="en-US"/>
          <w14:textFill>
            <w14:solidFill>
              <w14:schemeClr w14:val="tx1"/>
            </w14:solidFill>
          </w14:textFill>
        </w:rPr>
      </w:pPr>
      <w:bookmarkStart w:id="4" w:name="Par6"/>
      <w:bookmarkEnd w:id="4"/>
      <w:r>
        <w:rPr>
          <w:rFonts w:ascii="Times New Roman" w:hAnsi="Times New Roman" w:cs="Times New Roman"/>
          <w:color w:val="000000" w:themeColor="text1"/>
          <w:sz w:val="24"/>
          <w:szCs w:val="24"/>
          <w:highlight w:val="none"/>
          <w:lang w:eastAsia="en-US"/>
          <w14:textFill>
            <w14:solidFill>
              <w14:schemeClr w14:val="tx1"/>
            </w14:solidFill>
          </w14:textFill>
        </w:rPr>
        <w:t>а) 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 При этом,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w:t>
      </w:r>
    </w:p>
    <w:p w14:paraId="5A265DBC">
      <w:pPr>
        <w:autoSpaceDE w:val="0"/>
        <w:autoSpaceDN w:val="0"/>
        <w:adjustRightInd w:val="0"/>
        <w:spacing w:before="200"/>
        <w:ind w:firstLine="540"/>
        <w:jc w:val="both"/>
        <w:rPr>
          <w:rFonts w:ascii="Times New Roman" w:hAnsi="Times New Roman" w:cs="Times New Roman"/>
          <w:color w:val="000000" w:themeColor="text1"/>
          <w:sz w:val="24"/>
          <w:szCs w:val="24"/>
          <w:highlight w:val="none"/>
          <w:lang w:eastAsia="en-US"/>
          <w14:textFill>
            <w14:solidFill>
              <w14:schemeClr w14:val="tx1"/>
            </w14:solidFill>
          </w14:textFill>
        </w:rPr>
      </w:pPr>
      <w:bookmarkStart w:id="5" w:name="Par7"/>
      <w:bookmarkEnd w:id="5"/>
      <w:r>
        <w:rPr>
          <w:rFonts w:ascii="Times New Roman" w:hAnsi="Times New Roman" w:cs="Times New Roman"/>
          <w:color w:val="000000" w:themeColor="text1"/>
          <w:sz w:val="24"/>
          <w:szCs w:val="24"/>
          <w:highlight w:val="none"/>
          <w:lang w:eastAsia="en-US"/>
          <w14:textFill>
            <w14:solidFill>
              <w14:schemeClr w14:val="tx1"/>
            </w14:solidFill>
          </w14:textFill>
        </w:rPr>
        <w:t>б) после подписания членами приемочной комиссии документа о приемке или мотивированного отказа от подписания документа о приемке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единой информационной системе. Если члены приемочной комиссии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p>
    <w:p w14:paraId="4BBBA5E2">
      <w:pPr>
        <w:autoSpaceDE w:val="0"/>
        <w:autoSpaceDN w:val="0"/>
        <w:adjustRightInd w:val="0"/>
        <w:spacing w:before="200"/>
        <w:ind w:firstLine="540"/>
        <w:jc w:val="both"/>
        <w:rPr>
          <w:rFonts w:ascii="Times New Roman" w:hAnsi="Times New Roman" w:cs="Times New Roman"/>
          <w:color w:val="000000" w:themeColor="text1"/>
          <w:sz w:val="24"/>
          <w:szCs w:val="24"/>
          <w:highlight w:val="none"/>
          <w:lang w:eastAsia="en-US"/>
          <w14:textFill>
            <w14:solidFill>
              <w14:schemeClr w14:val="tx1"/>
            </w14:solidFill>
          </w14:textFill>
        </w:rPr>
      </w:pPr>
      <w:bookmarkStart w:id="6" w:name="Par8"/>
      <w:bookmarkEnd w:id="6"/>
      <w:r>
        <w:rPr>
          <w:rFonts w:ascii="Times New Roman" w:hAnsi="Times New Roman" w:cs="Times New Roman"/>
          <w:color w:val="000000" w:themeColor="text1"/>
          <w:sz w:val="24"/>
          <w:szCs w:val="24"/>
          <w:highlight w:val="none"/>
          <w:lang w:eastAsia="en-US"/>
          <w14:textFill>
            <w14:solidFill>
              <w14:schemeClr w14:val="tx1"/>
            </w14:solidFill>
          </w14:textFill>
        </w:rPr>
        <w:t>6.23. Документ о приемке, мотивированный отказ от подписания документа о приемке не позднее одного часа с момента размещения в единой информационной системе направляются автоматически с использованием единой информационной системы поставщику (подрядчику, исполнителю). Датой поступления поставщику (подрядчику, исполнителю) документа о приемке, мотивированного отказа от подписания документа о приемке считается дата размещения в соответствии с настоящим пунктом таких документа о приемке, мотивированного отказа в единой информационной системе в соответствии с часовой зоной, в которой расположен поставщик (подрядчик, исполнитель);</w:t>
      </w:r>
    </w:p>
    <w:p w14:paraId="1F3C155C">
      <w:pPr>
        <w:autoSpaceDE w:val="0"/>
        <w:autoSpaceDN w:val="0"/>
        <w:adjustRightInd w:val="0"/>
        <w:spacing w:before="200"/>
        <w:ind w:firstLine="540"/>
        <w:jc w:val="both"/>
        <w:rPr>
          <w:rFonts w:ascii="Times New Roman" w:hAnsi="Times New Roman" w:cs="Times New Roman"/>
          <w:color w:val="000000" w:themeColor="text1"/>
          <w:sz w:val="24"/>
          <w:szCs w:val="24"/>
          <w:highlight w:val="none"/>
          <w:lang w:eastAsia="en-US"/>
          <w14:textFill>
            <w14:solidFill>
              <w14:schemeClr w14:val="tx1"/>
            </w14:solidFill>
          </w14:textFill>
        </w:rPr>
      </w:pPr>
      <w:r>
        <w:rPr>
          <w:rFonts w:ascii="Times New Roman" w:hAnsi="Times New Roman" w:cs="Times New Roman"/>
          <w:color w:val="000000" w:themeColor="text1"/>
          <w:sz w:val="24"/>
          <w:szCs w:val="24"/>
          <w:highlight w:val="none"/>
          <w:lang w:eastAsia="en-US"/>
          <w14:textFill>
            <w14:solidFill>
              <w14:schemeClr w14:val="tx1"/>
            </w14:solidFill>
          </w14:textFill>
        </w:rPr>
        <w:t>6.24. В случае получения мотивированного отказа от подписания документа о приемке поставщик (подрядчик, исполнитель) вправе устранить причины, указанные в таком мотивированном отказе, и направить заказчику документ о приемке в порядке, предусмотренном настоящей частью;</w:t>
      </w:r>
    </w:p>
    <w:p w14:paraId="4DE31D6F">
      <w:pPr>
        <w:autoSpaceDE w:val="0"/>
        <w:autoSpaceDN w:val="0"/>
        <w:adjustRightInd w:val="0"/>
        <w:spacing w:before="200"/>
        <w:ind w:firstLine="540"/>
        <w:jc w:val="both"/>
        <w:rPr>
          <w:rFonts w:ascii="Times New Roman" w:hAnsi="Times New Roman" w:cs="Times New Roman"/>
          <w:color w:val="000000" w:themeColor="text1"/>
          <w:sz w:val="24"/>
          <w:szCs w:val="24"/>
          <w:highlight w:val="none"/>
          <w:lang w:eastAsia="en-US"/>
          <w14:textFill>
            <w14:solidFill>
              <w14:schemeClr w14:val="tx1"/>
            </w14:solidFill>
          </w14:textFill>
        </w:rPr>
      </w:pPr>
      <w:r>
        <w:rPr>
          <w:rFonts w:ascii="Times New Roman" w:hAnsi="Times New Roman" w:cs="Times New Roman"/>
          <w:color w:val="000000" w:themeColor="text1"/>
          <w:sz w:val="24"/>
          <w:szCs w:val="24"/>
          <w:highlight w:val="none"/>
          <w:lang w:eastAsia="en-US"/>
          <w14:textFill>
            <w14:solidFill>
              <w14:schemeClr w14:val="tx1"/>
            </w14:solidFill>
          </w14:textFill>
        </w:rPr>
        <w:t>6.25. Датой приемки поставленного товара, выполненной работы, оказанной услуги считается дата размещения в единой информационной системе документа о приемке, подписанного заказчиком.</w:t>
      </w:r>
    </w:p>
    <w:p w14:paraId="1B61527D">
      <w:pPr>
        <w:shd w:val="clear" w:color="auto" w:fill="FFFFFF"/>
        <w:tabs>
          <w:tab w:val="left" w:pos="1260"/>
        </w:tabs>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6.26. Выполненные Подрядчиком работы переходят в собственность Заказчика после подписания Акта приемки выполненных работ.</w:t>
      </w:r>
    </w:p>
    <w:p w14:paraId="3B5B1CDB">
      <w:pPr>
        <w:widowControl w:val="0"/>
        <w:jc w:val="both"/>
        <w:rPr>
          <w:rFonts w:ascii="Times New Roman" w:hAnsi="Times New Roman" w:eastAsia="PT Astra Serif" w:cs="Times New Roman"/>
          <w:color w:val="000000" w:themeColor="text1"/>
          <w:sz w:val="24"/>
          <w:szCs w:val="24"/>
          <w:highlight w:val="none"/>
          <w14:textFill>
            <w14:solidFill>
              <w14:schemeClr w14:val="tx1"/>
            </w14:solidFill>
          </w14:textFill>
        </w:rPr>
      </w:pPr>
    </w:p>
    <w:p w14:paraId="27836D97">
      <w:pPr>
        <w:widowControl w:val="0"/>
        <w:ind w:left="-15" w:firstLine="567"/>
        <w:jc w:val="center"/>
        <w:rPr>
          <w:rFonts w:ascii="Times New Roman" w:hAnsi="Times New Roman" w:eastAsia="PT Astra Serif" w:cs="Times New Roman"/>
          <w:b/>
          <w:color w:val="000000" w:themeColor="text1"/>
          <w:sz w:val="24"/>
          <w:szCs w:val="24"/>
          <w:highlight w:val="none"/>
          <w14:textFill>
            <w14:solidFill>
              <w14:schemeClr w14:val="tx1"/>
            </w14:solidFill>
          </w14:textFill>
        </w:rPr>
      </w:pPr>
      <w:r>
        <w:rPr>
          <w:rFonts w:ascii="Times New Roman" w:hAnsi="Times New Roman" w:eastAsia="PT Astra Serif" w:cs="Times New Roman"/>
          <w:b/>
          <w:color w:val="000000" w:themeColor="text1"/>
          <w:sz w:val="24"/>
          <w:szCs w:val="24"/>
          <w:highlight w:val="none"/>
          <w14:textFill>
            <w14:solidFill>
              <w14:schemeClr w14:val="tx1"/>
            </w14:solidFill>
          </w14:textFill>
        </w:rPr>
        <w:t>7. Ответственность сторон.</w:t>
      </w:r>
    </w:p>
    <w:p w14:paraId="50F69DB7">
      <w:pPr>
        <w:tabs>
          <w:tab w:val="left" w:pos="360"/>
        </w:tabs>
        <w:ind w:firstLine="720"/>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u w:val="single"/>
          <w14:textFill>
            <w14:solidFill>
              <w14:schemeClr w14:val="tx1"/>
            </w14:solidFill>
          </w14:textFill>
        </w:rPr>
        <w:t>7.1.</w:t>
      </w:r>
      <w:r>
        <w:rPr>
          <w:rFonts w:ascii="Times New Roman" w:hAnsi="Times New Roman" w:cs="Times New Roman"/>
          <w:color w:val="000000" w:themeColor="text1"/>
          <w:sz w:val="24"/>
          <w:szCs w:val="24"/>
          <w:highlight w:val="none"/>
          <w14:textFill>
            <w14:solidFill>
              <w14:schemeClr w14:val="tx1"/>
            </w14:solidFill>
          </w14:textFill>
        </w:rPr>
        <w:t xml:space="preserve"> Стороны несут ответственность за неисполнение или ненадлежащее исполнение обязательств по настоящему Контракту в соответствии с действующим законодательством Российской Федерации.</w:t>
      </w:r>
    </w:p>
    <w:p w14:paraId="679746FB">
      <w:pPr>
        <w:tabs>
          <w:tab w:val="left" w:pos="360"/>
        </w:tabs>
        <w:ind w:firstLine="720"/>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Утвержденные Постановлением Правительства Российской Федерации от 30 августа 2017 г. N 1042 Правила, устанавливают порядок определения в контракте:</w:t>
      </w:r>
    </w:p>
    <w:p w14:paraId="61413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hAnsi="Times New Roman" w:cs="Times New Roman"/>
          <w:color w:val="000000" w:themeColor="text1"/>
          <w:sz w:val="24"/>
          <w:szCs w:val="24"/>
          <w:highlight w:val="none"/>
          <w:lang w:eastAsia="en-US"/>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размера штрафа, начисляемого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и размера штрафа, начисляемого за неисполнение или ненадлежащее исполнение поставщиком (подрядчиком, исполнителем)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(далее - штраф).</w:t>
      </w:r>
    </w:p>
    <w:p w14:paraId="082999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u w:val="single"/>
          <w14:textFill>
            <w14:solidFill>
              <w14:schemeClr w14:val="tx1"/>
            </w14:solidFill>
          </w14:textFill>
        </w:rPr>
        <w:t xml:space="preserve">7.2. </w:t>
      </w:r>
      <w:r>
        <w:rPr>
          <w:rFonts w:ascii="Times New Roman" w:hAnsi="Times New Roman" w:cs="Times New Roman"/>
          <w:color w:val="000000" w:themeColor="text1"/>
          <w:sz w:val="24"/>
          <w:szCs w:val="24"/>
          <w:highlight w:val="none"/>
          <w14:textFill>
            <w14:solidFill>
              <w14:schemeClr w14:val="tx1"/>
            </w14:solidFill>
          </w14:textFill>
        </w:rPr>
        <w:t xml:space="preserve">Размер штрафа устанавливается контрактом в соответствии с </w:t>
      </w:r>
      <w:r>
        <w:rPr>
          <w:highlight w:val="none"/>
        </w:rPr>
        <w:fldChar w:fldCharType="begin"/>
      </w:r>
      <w:r>
        <w:rPr>
          <w:highlight w:val="none"/>
        </w:rPr>
        <w:instrText xml:space="preserve"> HYPERLINK "https://base.garant.ru/71757358/447c2b4ac27c58797ee9daf37e05823b/" \l "block_1003" </w:instrText>
      </w:r>
      <w:r>
        <w:rPr>
          <w:highlight w:val="none"/>
        </w:rPr>
        <w:fldChar w:fldCharType="separate"/>
      </w:r>
      <w:r>
        <w:rPr>
          <w:rStyle w:val="11"/>
          <w:rFonts w:ascii="Times New Roman" w:hAnsi="Times New Roman" w:cs="Times New Roman"/>
          <w:color w:val="000000" w:themeColor="text1"/>
          <w:sz w:val="24"/>
          <w:szCs w:val="24"/>
          <w:highlight w:val="none"/>
          <w14:textFill>
            <w14:solidFill>
              <w14:schemeClr w14:val="tx1"/>
            </w14:solidFill>
          </w14:textFill>
        </w:rPr>
        <w:t>пунктами 3 - 9</w:t>
      </w:r>
      <w:r>
        <w:rPr>
          <w:rStyle w:val="11"/>
          <w:rFonts w:ascii="Times New Roman" w:hAnsi="Times New Roman" w:cs="Times New Roman"/>
          <w:color w:val="000000" w:themeColor="text1"/>
          <w:sz w:val="24"/>
          <w:szCs w:val="24"/>
          <w:highlight w:val="none"/>
          <w14:textFill>
            <w14:solidFill>
              <w14:schemeClr w14:val="tx1"/>
            </w14:solidFill>
          </w14:textFill>
        </w:rPr>
        <w:fldChar w:fldCharType="end"/>
      </w:r>
      <w:r>
        <w:rPr>
          <w:rFonts w:ascii="Times New Roman" w:hAnsi="Times New Roman" w:cs="Times New Roman"/>
          <w:color w:val="000000" w:themeColor="text1"/>
          <w:sz w:val="24"/>
          <w:szCs w:val="24"/>
          <w:highlight w:val="none"/>
          <w14:textFill>
            <w14:solidFill>
              <w14:schemeClr w14:val="tx1"/>
            </w14:solidFill>
          </w14:textFill>
        </w:rPr>
        <w:t xml:space="preserve"> настоящих Правил, за исключением случая, предусмотренного </w:t>
      </w:r>
      <w:r>
        <w:rPr>
          <w:highlight w:val="none"/>
        </w:rPr>
        <w:fldChar w:fldCharType="begin"/>
      </w:r>
      <w:r>
        <w:rPr>
          <w:highlight w:val="none"/>
        </w:rPr>
        <w:instrText xml:space="preserve"> HYPERLINK "https://base.garant.ru/72369386/bcaac4d4b93e9c9e3f1174e5384dd140/" \l "block_1013" </w:instrText>
      </w:r>
      <w:r>
        <w:rPr>
          <w:highlight w:val="none"/>
        </w:rPr>
        <w:fldChar w:fldCharType="separate"/>
      </w:r>
      <w:r>
        <w:rPr>
          <w:rStyle w:val="11"/>
          <w:rFonts w:ascii="Times New Roman" w:hAnsi="Times New Roman" w:cs="Times New Roman"/>
          <w:color w:val="000000" w:themeColor="text1"/>
          <w:sz w:val="24"/>
          <w:szCs w:val="24"/>
          <w:highlight w:val="none"/>
          <w14:textFill>
            <w14:solidFill>
              <w14:schemeClr w14:val="tx1"/>
            </w14:solidFill>
          </w14:textFill>
        </w:rPr>
        <w:t>пунктом 13</w:t>
      </w:r>
      <w:r>
        <w:rPr>
          <w:rStyle w:val="11"/>
          <w:rFonts w:ascii="Times New Roman" w:hAnsi="Times New Roman" w:cs="Times New Roman"/>
          <w:color w:val="000000" w:themeColor="text1"/>
          <w:sz w:val="24"/>
          <w:szCs w:val="24"/>
          <w:highlight w:val="none"/>
          <w14:textFill>
            <w14:solidFill>
              <w14:schemeClr w14:val="tx1"/>
            </w14:solidFill>
          </w14:textFill>
        </w:rPr>
        <w:fldChar w:fldCharType="end"/>
      </w:r>
      <w:r>
        <w:rPr>
          <w:rFonts w:ascii="Times New Roman" w:hAnsi="Times New Roman" w:cs="Times New Roman"/>
          <w:color w:val="000000" w:themeColor="text1"/>
          <w:sz w:val="24"/>
          <w:szCs w:val="24"/>
          <w:highlight w:val="none"/>
          <w14:textFill>
            <w14:solidFill>
              <w14:schemeClr w14:val="tx1"/>
            </w14:solidFill>
          </w14:textFill>
        </w:rPr>
        <w:t xml:space="preserve"> настоящих Правил, в том числе рассчитывается как процент цены контракта, или в случае, если контрактом предусмотрены этапы исполнения контракта, как процент этапа исполнения контракта (далее - цена контракта (этапа).</w:t>
      </w:r>
    </w:p>
    <w:p w14:paraId="01EF1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u w:val="single"/>
          <w14:textFill>
            <w14:solidFill>
              <w14:schemeClr w14:val="tx1"/>
            </w14:solidFill>
          </w14:textFill>
        </w:rPr>
        <w:t xml:space="preserve">7.3. </w:t>
      </w:r>
      <w:r>
        <w:rPr>
          <w:rFonts w:ascii="Times New Roman" w:hAnsi="Times New Roman" w:cs="Times New Roman"/>
          <w:color w:val="000000" w:themeColor="text1"/>
          <w:sz w:val="24"/>
          <w:szCs w:val="24"/>
          <w:highlight w:val="none"/>
          <w14:textFill>
            <w14:solidFill>
              <w14:schemeClr w14:val="tx1"/>
            </w14:solidFill>
          </w14:textFill>
        </w:rPr>
        <w:t xml:space="preserve">За каждый факт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следующем порядке (за исключением случаев, предусмотренных </w:t>
      </w:r>
      <w:r>
        <w:rPr>
          <w:highlight w:val="none"/>
        </w:rPr>
        <w:fldChar w:fldCharType="begin"/>
      </w:r>
      <w:r>
        <w:rPr>
          <w:highlight w:val="none"/>
        </w:rPr>
        <w:instrText xml:space="preserve"> HYPERLINK "https://base.garant.ru/71757358/447c2b4ac27c58797ee9daf37e05823b/" \l "block_1004" </w:instrText>
      </w:r>
      <w:r>
        <w:rPr>
          <w:highlight w:val="none"/>
        </w:rPr>
        <w:fldChar w:fldCharType="separate"/>
      </w:r>
      <w:r>
        <w:rPr>
          <w:rStyle w:val="11"/>
          <w:rFonts w:ascii="Times New Roman" w:hAnsi="Times New Roman" w:cs="Times New Roman"/>
          <w:color w:val="000000" w:themeColor="text1"/>
          <w:sz w:val="24"/>
          <w:szCs w:val="24"/>
          <w:highlight w:val="none"/>
          <w14:textFill>
            <w14:solidFill>
              <w14:schemeClr w14:val="tx1"/>
            </w14:solidFill>
          </w14:textFill>
        </w:rPr>
        <w:t>пунктами 4 - 8</w:t>
      </w:r>
      <w:r>
        <w:rPr>
          <w:rStyle w:val="11"/>
          <w:rFonts w:ascii="Times New Roman" w:hAnsi="Times New Roman" w:cs="Times New Roman"/>
          <w:color w:val="000000" w:themeColor="text1"/>
          <w:sz w:val="24"/>
          <w:szCs w:val="24"/>
          <w:highlight w:val="none"/>
          <w14:textFill>
            <w14:solidFill>
              <w14:schemeClr w14:val="tx1"/>
            </w14:solidFill>
          </w14:textFill>
        </w:rPr>
        <w:fldChar w:fldCharType="end"/>
      </w:r>
      <w:r>
        <w:rPr>
          <w:rFonts w:ascii="Times New Roman" w:hAnsi="Times New Roman" w:cs="Times New Roman"/>
          <w:color w:val="000000" w:themeColor="text1"/>
          <w:sz w:val="24"/>
          <w:szCs w:val="24"/>
          <w:highlight w:val="none"/>
          <w14:textFill>
            <w14:solidFill>
              <w14:schemeClr w14:val="tx1"/>
            </w14:solidFill>
          </w14:textFill>
        </w:rPr>
        <w:t>настоящих Правил, утвержденных Постановлением Правительства Российской Федерации от 30 августа 2017 г. N 1042):</w:t>
      </w:r>
    </w:p>
    <w:p w14:paraId="4042D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а) 10 процентов цены контракта (этапа) в случае, если цена контракта (этапа) не превышает 3 млн. рублей;</w:t>
      </w:r>
    </w:p>
    <w:p w14:paraId="0D031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б) 5 процентов цены контракта (этапа) в случае, если цена контракта (этапа) составляет от 3 млн. рублей до 50 млн. рублей (включительно);</w:t>
      </w:r>
    </w:p>
    <w:p w14:paraId="2AA75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в) 1 процент цены контракта (этапа) в случае, если цена контракта (этапа) составляет от 50 млн. рублей до 100 млн. рублей (включительно);</w:t>
      </w:r>
    </w:p>
    <w:p w14:paraId="608DF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г) 0,5 процента цены контракта (этапа) в случае, если цена контракта (этапа) составляет от 100 млн. рублей до 500 млн. рублей (включительно);</w:t>
      </w:r>
    </w:p>
    <w:p w14:paraId="41ED51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д) 0,4 процента цены контракта (этапа) в случае, если цена контракта (этапа) составляет от 500 млн. рублей до 1 млрд. рублей (включительно);</w:t>
      </w:r>
    </w:p>
    <w:p w14:paraId="0F11AB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е) 0,3 процента цены контракта (этапа) в случае, если цена контракта (этапа) составляет от 1 млрд. рублей до 2 млрд. рублей (включительно);</w:t>
      </w:r>
    </w:p>
    <w:p w14:paraId="2ECC8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ж) 0,25 процента цены контракта (этапа) в случае, если цена контракта (этапа) составляет от 2 млрд. рублей до 5 млрд. рублей (включительно);</w:t>
      </w:r>
    </w:p>
    <w:p w14:paraId="170D4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з) 0,2 процента цены контракта (этапа) в случае, если цена контракта (этапа) составляет от 5 млрд. рублей до 10 млрд. рублей (включительно);</w:t>
      </w:r>
    </w:p>
    <w:p w14:paraId="241EB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и) 0,1 процента цены контракта (этапа) в случае, если цена контракта (этапа) превышает 10 млрд. рублей.</w:t>
      </w:r>
    </w:p>
    <w:p w14:paraId="1C1D3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hAnsi="Times New Roman" w:cs="Times New Roman"/>
          <w:color w:val="000000" w:themeColor="text1"/>
          <w:sz w:val="24"/>
          <w:szCs w:val="24"/>
          <w:highlight w:val="none"/>
          <w:shd w:val="clear" w:color="auto" w:fill="FFFFFF"/>
          <w:lang w:eastAsia="en-US"/>
          <w14:textFill>
            <w14:solidFill>
              <w14:schemeClr w14:val="tx1"/>
            </w14:solidFill>
          </w14:textFill>
        </w:rPr>
      </w:pPr>
      <w:r>
        <w:rPr>
          <w:rFonts w:ascii="Times New Roman" w:hAnsi="Times New Roman" w:cs="Times New Roman"/>
          <w:color w:val="000000" w:themeColor="text1"/>
          <w:sz w:val="24"/>
          <w:szCs w:val="24"/>
          <w:highlight w:val="none"/>
          <w:u w:val="single"/>
          <w14:textFill>
            <w14:solidFill>
              <w14:schemeClr w14:val="tx1"/>
            </w14:solidFill>
          </w14:textFill>
        </w:rPr>
        <w:t xml:space="preserve">7.4. </w:t>
      </w:r>
      <w:r>
        <w:rPr>
          <w:rFonts w:ascii="Times New Roman" w:hAnsi="Times New Roman" w:cs="Times New Roman"/>
          <w:color w:val="000000" w:themeColor="text1"/>
          <w:sz w:val="24"/>
          <w:szCs w:val="24"/>
          <w:highlight w:val="none"/>
          <w:shd w:val="clear" w:color="auto" w:fill="FFFFFF"/>
          <w14:textFill>
            <w14:solidFill>
              <w14:schemeClr w14:val="tx1"/>
            </w14:solidFill>
          </w14:textFill>
        </w:rPr>
        <w:t>За каждый факт неисполнения или ненадлежащего исполнения поставщиком (подрядчиком, исполнителем) обязательств, предусмотренных контрактом, заключенным по результатам определения поставщика (подрядчика, исполнителя) в соответствии с </w:t>
      </w:r>
      <w:r>
        <w:rPr>
          <w:highlight w:val="none"/>
        </w:rPr>
        <w:fldChar w:fldCharType="begin"/>
      </w:r>
      <w:r>
        <w:rPr>
          <w:highlight w:val="none"/>
        </w:rPr>
        <w:instrText xml:space="preserve"> HYPERLINK "https://base.garant.ru/70353464/daf75cc17d0d1b8b796480bc59f740b8/" \l "block_30101" </w:instrText>
      </w:r>
      <w:r>
        <w:rPr>
          <w:highlight w:val="none"/>
        </w:rPr>
        <w:fldChar w:fldCharType="separate"/>
      </w:r>
      <w:r>
        <w:rPr>
          <w:rStyle w:val="11"/>
          <w:rFonts w:ascii="Times New Roman" w:hAnsi="Times New Roman" w:cs="Times New Roman"/>
          <w:color w:val="000000" w:themeColor="text1"/>
          <w:sz w:val="24"/>
          <w:szCs w:val="24"/>
          <w:highlight w:val="none"/>
          <w:shd w:val="clear" w:color="auto" w:fill="FFFFFF"/>
          <w14:textFill>
            <w14:solidFill>
              <w14:schemeClr w14:val="tx1"/>
            </w14:solidFill>
          </w14:textFill>
        </w:rPr>
        <w:t>пунктом 1 части 1 статьи 30</w:t>
      </w:r>
      <w:r>
        <w:rPr>
          <w:rStyle w:val="11"/>
          <w:rFonts w:ascii="Times New Roman" w:hAnsi="Times New Roman" w:cs="Times New Roman"/>
          <w:color w:val="000000" w:themeColor="text1"/>
          <w:sz w:val="24"/>
          <w:szCs w:val="24"/>
          <w:highlight w:val="none"/>
          <w:shd w:val="clear" w:color="auto" w:fill="FFFFFF"/>
          <w14:textFill>
            <w14:solidFill>
              <w14:schemeClr w14:val="tx1"/>
            </w14:solidFill>
          </w14:textFill>
        </w:rPr>
        <w:fldChar w:fldCharType="end"/>
      </w:r>
      <w:r>
        <w:rPr>
          <w:rFonts w:ascii="Times New Roman" w:hAnsi="Times New Roman" w:cs="Times New Roman"/>
          <w:color w:val="000000" w:themeColor="text1"/>
          <w:sz w:val="24"/>
          <w:szCs w:val="24"/>
          <w:highlight w:val="none"/>
          <w:shd w:val="clear" w:color="auto" w:fill="FFFFFF"/>
          <w14:textFill>
            <w14:solidFill>
              <w14:schemeClr w14:val="tx1"/>
            </w14:solidFill>
          </w14:textFill>
        </w:rPr>
        <w:t>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14:paraId="6DA500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u w:val="single"/>
          <w14:textFill>
            <w14:solidFill>
              <w14:schemeClr w14:val="tx1"/>
            </w14:solidFill>
          </w14:textFill>
        </w:rPr>
        <w:t xml:space="preserve">7.5. </w:t>
      </w:r>
      <w:r>
        <w:rPr>
          <w:rFonts w:ascii="Times New Roman" w:hAnsi="Times New Roman" w:cs="Times New Roman"/>
          <w:color w:val="000000" w:themeColor="text1"/>
          <w:sz w:val="24"/>
          <w:szCs w:val="24"/>
          <w:highlight w:val="none"/>
          <w14:textFill>
            <w14:solidFill>
              <w14:schemeClr w14:val="tx1"/>
            </w14:solidFill>
          </w14:textFill>
        </w:rPr>
        <w:t xml:space="preserve">За каждый факт неисполнения или ненадлежащего исполнения поставщиком (подрядчиком, исполнителем) обязательств, предусмотренных контрактом, заключенным с победителем закупки (или с иным участником закупки в случаях, установленных </w:t>
      </w:r>
      <w:r>
        <w:rPr>
          <w:highlight w:val="none"/>
        </w:rPr>
        <w:fldChar w:fldCharType="begin"/>
      </w:r>
      <w:r>
        <w:rPr>
          <w:highlight w:val="none"/>
        </w:rPr>
        <w:instrText xml:space="preserve"> HYPERLINK "https://base.garant.ru/70353464/" </w:instrText>
      </w:r>
      <w:r>
        <w:rPr>
          <w:highlight w:val="none"/>
        </w:rPr>
        <w:fldChar w:fldCharType="separate"/>
      </w:r>
      <w:r>
        <w:rPr>
          <w:rStyle w:val="11"/>
          <w:rFonts w:ascii="Times New Roman" w:hAnsi="Times New Roman" w:cs="Times New Roman"/>
          <w:color w:val="000000" w:themeColor="text1"/>
          <w:sz w:val="24"/>
          <w:szCs w:val="24"/>
          <w:highlight w:val="none"/>
          <w14:textFill>
            <w14:solidFill>
              <w14:schemeClr w14:val="tx1"/>
            </w14:solidFill>
          </w14:textFill>
        </w:rPr>
        <w:t>Федеральным законом</w:t>
      </w:r>
      <w:r>
        <w:rPr>
          <w:rStyle w:val="11"/>
          <w:rFonts w:ascii="Times New Roman" w:hAnsi="Times New Roman" w:cs="Times New Roman"/>
          <w:color w:val="000000" w:themeColor="text1"/>
          <w:sz w:val="24"/>
          <w:szCs w:val="24"/>
          <w:highlight w:val="none"/>
          <w14:textFill>
            <w14:solidFill>
              <w14:schemeClr w14:val="tx1"/>
            </w14:solidFill>
          </w14:textFill>
        </w:rPr>
        <w:fldChar w:fldCharType="end"/>
      </w:r>
      <w:r>
        <w:rPr>
          <w:rFonts w:ascii="Times New Roman" w:hAnsi="Times New Roman" w:cs="Times New Roman"/>
          <w:color w:val="000000" w:themeColor="text1"/>
          <w:sz w:val="24"/>
          <w:szCs w:val="24"/>
          <w:highlight w:val="none"/>
          <w14:textFill>
            <w14:solidFill>
              <w14:schemeClr w14:val="tx1"/>
            </w14:solidFill>
          </w14:textFill>
        </w:rPr>
        <w:t>), предложившим наиболее высокую цену за право заключения контракта, размер штрафа рассчитывается в порядке, установленном настоящими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14:paraId="7FCC7F96">
      <w:pPr>
        <w:pStyle w:val="3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color w:val="000000" w:themeColor="text1"/>
          <w:highlight w:val="none"/>
          <w14:textFill>
            <w14:solidFill>
              <w14:schemeClr w14:val="tx1"/>
            </w14:solidFill>
          </w14:textFill>
        </w:rPr>
        <w:t>а) в случае, если цена контракта не превышает начальную (максимальную) цену контракта:</w:t>
      </w:r>
    </w:p>
    <w:p w14:paraId="3BBD6764">
      <w:pPr>
        <w:pStyle w:val="3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color w:val="000000" w:themeColor="text1"/>
          <w:highlight w:val="none"/>
          <w14:textFill>
            <w14:solidFill>
              <w14:schemeClr w14:val="tx1"/>
            </w14:solidFill>
          </w14:textFill>
        </w:rPr>
        <w:t>10 процентов начальной (максимальной) цены контракта, если цена контракта не превышает 3 млн. рублей;</w:t>
      </w:r>
    </w:p>
    <w:p w14:paraId="22F9C9EB">
      <w:pPr>
        <w:pStyle w:val="3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color w:val="000000" w:themeColor="text1"/>
          <w:highlight w:val="none"/>
          <w14:textFill>
            <w14:solidFill>
              <w14:schemeClr w14:val="tx1"/>
            </w14:solidFill>
          </w14:textFill>
        </w:rPr>
        <w:t>5 процентов начальной (максимальной) цены контракта, если цена контракта составляет от 3 млн. рублей до 50 млн. рублей (включительно);</w:t>
      </w:r>
    </w:p>
    <w:p w14:paraId="4FE8762E">
      <w:pPr>
        <w:pStyle w:val="3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color w:val="000000" w:themeColor="text1"/>
          <w:highlight w:val="none"/>
          <w14:textFill>
            <w14:solidFill>
              <w14:schemeClr w14:val="tx1"/>
            </w14:solidFill>
          </w14:textFill>
        </w:rPr>
        <w:t>1 процент начальной (максимальной) цены контракта, если цена контракта составляет от 50 млн. рублей до 100 млн. рублей (включительно);</w:t>
      </w:r>
    </w:p>
    <w:p w14:paraId="61D54FF6">
      <w:pPr>
        <w:pStyle w:val="3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color w:val="000000" w:themeColor="text1"/>
          <w:highlight w:val="none"/>
          <w14:textFill>
            <w14:solidFill>
              <w14:schemeClr w14:val="tx1"/>
            </w14:solidFill>
          </w14:textFill>
        </w:rPr>
        <w:t>б) в случае, если цена контракта превышает начальную (максимальную) цену контракта:</w:t>
      </w:r>
    </w:p>
    <w:p w14:paraId="3A3F15B5">
      <w:pPr>
        <w:pStyle w:val="3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color w:val="000000" w:themeColor="text1"/>
          <w:highlight w:val="none"/>
          <w14:textFill>
            <w14:solidFill>
              <w14:schemeClr w14:val="tx1"/>
            </w14:solidFill>
          </w14:textFill>
        </w:rPr>
        <w:t>10 процентов цены контракта, если цена контракта не превышает 3 млн. рублей;</w:t>
      </w:r>
    </w:p>
    <w:p w14:paraId="4E3CE7B2">
      <w:pPr>
        <w:pStyle w:val="3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color w:val="000000" w:themeColor="text1"/>
          <w:highlight w:val="none"/>
          <w14:textFill>
            <w14:solidFill>
              <w14:schemeClr w14:val="tx1"/>
            </w14:solidFill>
          </w14:textFill>
        </w:rPr>
        <w:t>5 процентов цены контракта, если цена контракта составляет от 3 млн. рублей до 50 млн. рублей (включительно);</w:t>
      </w:r>
    </w:p>
    <w:p w14:paraId="7D881132">
      <w:pPr>
        <w:pStyle w:val="3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color w:val="000000" w:themeColor="text1"/>
          <w:highlight w:val="none"/>
          <w14:textFill>
            <w14:solidFill>
              <w14:schemeClr w14:val="tx1"/>
            </w14:solidFill>
          </w14:textFill>
        </w:rPr>
        <w:t>1 процент цены контракта, если цена контракта составляет от 50 млн. рублей до 100 млн. рублей (включительно).</w:t>
      </w:r>
    </w:p>
    <w:p w14:paraId="00FC4ED5">
      <w:pPr>
        <w:pStyle w:val="3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color w:val="000000" w:themeColor="text1"/>
          <w:highlight w:val="none"/>
          <w:u w:val="single"/>
          <w14:textFill>
            <w14:solidFill>
              <w14:schemeClr w14:val="tx1"/>
            </w14:solidFill>
          </w14:textFill>
        </w:rPr>
        <w:t xml:space="preserve">7.6. </w:t>
      </w:r>
      <w:r>
        <w:rPr>
          <w:rFonts w:ascii="Times New Roman" w:hAnsi="Times New Roman" w:cs="Times New Roman"/>
          <w:color w:val="000000" w:themeColor="text1"/>
          <w:highlight w:val="none"/>
          <w14:textFill>
            <w14:solidFill>
              <w14:schemeClr w14:val="tx1"/>
            </w14:solidFill>
          </w14:textFill>
        </w:rPr>
        <w:t>За каждый факт неисполнения или ненадлежащего исполнения поставщиком (подрядчиком, исполнителем)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14:paraId="4364E7CC">
      <w:pPr>
        <w:pStyle w:val="3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color w:val="000000" w:themeColor="text1"/>
          <w:highlight w:val="none"/>
          <w14:textFill>
            <w14:solidFill>
              <w14:schemeClr w14:val="tx1"/>
            </w14:solidFill>
          </w14:textFill>
        </w:rPr>
        <w:t>а) 1000 рублей, если цена контракта не превышает 3 млн. рублей;</w:t>
      </w:r>
    </w:p>
    <w:p w14:paraId="4370170A">
      <w:pPr>
        <w:pStyle w:val="3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color w:val="000000" w:themeColor="text1"/>
          <w:highlight w:val="none"/>
          <w14:textFill>
            <w14:solidFill>
              <w14:schemeClr w14:val="tx1"/>
            </w14:solidFill>
          </w14:textFill>
        </w:rPr>
        <w:t>б) 5000 рублей, если цена контракта составляет от 3 млн. рублей до 50 млн. рублей (включительно);</w:t>
      </w:r>
    </w:p>
    <w:p w14:paraId="3C2BF7C1">
      <w:pPr>
        <w:pStyle w:val="3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color w:val="000000" w:themeColor="text1"/>
          <w:highlight w:val="none"/>
          <w14:textFill>
            <w14:solidFill>
              <w14:schemeClr w14:val="tx1"/>
            </w14:solidFill>
          </w14:textFill>
        </w:rPr>
        <w:t>в) 10000 рублей, если цена контракта составляет от 50 млн. рублей до 100 млн. рублей (включительно);</w:t>
      </w:r>
    </w:p>
    <w:p w14:paraId="5739E6B8">
      <w:pPr>
        <w:pStyle w:val="3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color w:val="000000" w:themeColor="text1"/>
          <w:highlight w:val="none"/>
          <w14:textFill>
            <w14:solidFill>
              <w14:schemeClr w14:val="tx1"/>
            </w14:solidFill>
          </w14:textFill>
        </w:rPr>
        <w:t>г) 100000 рублей, если цена контракта превышает 100 млн. рублей.</w:t>
      </w:r>
    </w:p>
    <w:p w14:paraId="5319AF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u w:val="single"/>
          <w14:textFill>
            <w14:solidFill>
              <w14:schemeClr w14:val="tx1"/>
            </w14:solidFill>
          </w14:textFill>
        </w:rPr>
        <w:t>7.8.</w:t>
      </w:r>
      <w:r>
        <w:rPr>
          <w:rFonts w:ascii="Times New Roman" w:hAnsi="Times New Roman" w:cs="Times New Roman"/>
          <w:color w:val="000000" w:themeColor="text1"/>
          <w:sz w:val="24"/>
          <w:szCs w:val="24"/>
          <w:highlight w:val="none"/>
          <w14:textFill>
            <w14:solidFill>
              <w14:schemeClr w14:val="tx1"/>
            </w14:solidFill>
          </w14:textFill>
        </w:rPr>
        <w:t xml:space="preserve"> За ненадлежащее исполнение подрядчиком обязательств по выполнению видов и объемов работ по строительству, реконструкции объектов капитального строительства, которые подрядчик обязан выполнить самостоятельно без привлечения других лиц к исполнению своих обязательств по контракту, размер штрафа устанавливается в размере 5 процентов стоимости указанных работ.</w:t>
      </w:r>
    </w:p>
    <w:p w14:paraId="22B2EB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u w:val="single"/>
          <w14:textFill>
            <w14:solidFill>
              <w14:schemeClr w14:val="tx1"/>
            </w14:solidFill>
          </w14:textFill>
        </w:rPr>
        <w:t xml:space="preserve">7.9. </w:t>
      </w:r>
      <w:r>
        <w:rPr>
          <w:rFonts w:ascii="Times New Roman" w:hAnsi="Times New Roman" w:cs="Times New Roman"/>
          <w:color w:val="000000" w:themeColor="text1"/>
          <w:sz w:val="24"/>
          <w:szCs w:val="24"/>
          <w:highlight w:val="none"/>
          <w14:textFill>
            <w14:solidFill>
              <w14:schemeClr w14:val="tx1"/>
            </w14:solidFill>
          </w14:textFill>
        </w:rPr>
        <w:t xml:space="preserve">В случае если в соответствии с </w:t>
      </w:r>
      <w:r>
        <w:rPr>
          <w:rFonts w:ascii="Times New Roman" w:hAnsi="Times New Roman" w:cs="Times New Roman"/>
          <w:color w:val="000000" w:themeColor="text1"/>
          <w:sz w:val="24"/>
          <w:szCs w:val="24"/>
          <w:highlight w:val="none"/>
          <w:u w:val="single"/>
          <w14:textFill>
            <w14:solidFill>
              <w14:schemeClr w14:val="tx1"/>
            </w14:solidFill>
          </w14:textFill>
        </w:rPr>
        <w:t>частью 6 статьи 30</w:t>
      </w:r>
      <w:r>
        <w:rPr>
          <w:rFonts w:ascii="Times New Roman" w:hAnsi="Times New Roman" w:cs="Times New Roman"/>
          <w:color w:val="000000" w:themeColor="text1"/>
          <w:sz w:val="24"/>
          <w:szCs w:val="24"/>
          <w:highlight w:val="none"/>
          <w14:textFill>
            <w14:solidFill>
              <w14:schemeClr w14:val="tx1"/>
            </w14:solidFill>
          </w14:textFill>
        </w:rPr>
        <w:t xml:space="preserve"> Федерального закона контрактом предусмотрено условие о гражданско-правовой ответственности поставщиков (подрядчиков, исполнителей) за неисполнение условия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в виде штрафа, штраф устанавливается в размере 5 процентов объема такого привлечения, установленного контрактом.</w:t>
      </w:r>
    </w:p>
    <w:p w14:paraId="5A8521EE">
      <w:pPr>
        <w:pStyle w:val="3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color w:val="000000" w:themeColor="text1"/>
          <w:highlight w:val="none"/>
          <w14:textFill>
            <w14:solidFill>
              <w14:schemeClr w14:val="tx1"/>
            </w14:solidFill>
          </w14:textFill>
        </w:rPr>
        <w:t>7.10.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14:paraId="3CD1E5C4">
      <w:pPr>
        <w:pStyle w:val="3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color w:val="000000" w:themeColor="text1"/>
          <w:highlight w:val="none"/>
          <w14:textFill>
            <w14:solidFill>
              <w14:schemeClr w14:val="tx1"/>
            </w14:solidFill>
          </w14:textFill>
        </w:rPr>
        <w:t>а) 1000 рублей, если цена контракта не превышает 3 млн. рублей (включительно);</w:t>
      </w:r>
    </w:p>
    <w:p w14:paraId="1B88DFF1">
      <w:pPr>
        <w:pStyle w:val="3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color w:val="000000" w:themeColor="text1"/>
          <w:highlight w:val="none"/>
          <w14:textFill>
            <w14:solidFill>
              <w14:schemeClr w14:val="tx1"/>
            </w14:solidFill>
          </w14:textFill>
        </w:rPr>
        <w:t>б) 5000 рублей, если цена контракта составляет от 3 млн. рублей до 50 млн. рублей (включительно);</w:t>
      </w:r>
    </w:p>
    <w:p w14:paraId="206C5D53">
      <w:pPr>
        <w:pStyle w:val="3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color w:val="000000" w:themeColor="text1"/>
          <w:highlight w:val="none"/>
          <w14:textFill>
            <w14:solidFill>
              <w14:schemeClr w14:val="tx1"/>
            </w14:solidFill>
          </w14:textFill>
        </w:rPr>
        <w:t>в) 10000 рублей, если цена контракта составляет от 50 млн. рублей до 100 млн. рублей (включительно);</w:t>
      </w:r>
    </w:p>
    <w:p w14:paraId="067316D3">
      <w:pPr>
        <w:pStyle w:val="3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color w:val="000000" w:themeColor="text1"/>
          <w:highlight w:val="none"/>
          <w14:textFill>
            <w14:solidFill>
              <w14:schemeClr w14:val="tx1"/>
            </w14:solidFill>
          </w14:textFill>
        </w:rPr>
        <w:t>г) 100000 рублей, если цена контракта превышает 100 млн. рублей.</w:t>
      </w:r>
    </w:p>
    <w:p w14:paraId="25AAF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7.11. Общая сумма начисленных штрафов за неисполнение или ненадлежащее исполнение поставщиком (подрядчиком, исполнителем) обязательств, предусмотренных контрактом, не может превышать цену контракта.</w:t>
      </w:r>
    </w:p>
    <w:p w14:paraId="569DC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7.12. 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14:paraId="2EE1F4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7.13. В случае если законодательством Российской Федерации установлен иной порядок начисления штрафа, чем порядок, предусмотренный настоящими Правилами, размер такого штрафа и порядок его начисления устанавливается контрактом в соответствии с законодательством Российской Федерации.</w:t>
      </w:r>
    </w:p>
    <w:p w14:paraId="1BB90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7.14.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14:paraId="7D211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color w:val="000000" w:themeColor="text1"/>
          <w:kern w:val="2"/>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 xml:space="preserve"> 7.15. Уплата неустоек (штрафов, пеней) не освобождает Стороны от выполнения обязательств по Контракту.</w:t>
      </w:r>
    </w:p>
    <w:p w14:paraId="7C725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 xml:space="preserve"> 7.18. В случае просрочки исполнения подрядчиком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подрядчиком обязательств, предусмотренных контрактом, заказчик направляет подрядчику требование об уплате неустоек (штрафов, пеней)..Пеня начисляется за каждый день просрочки исполнения поставщиком (подрядчиком, исполнителем)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уменьшенной на сумму, пропорциональную объему обязательств, предусмотренных контрактом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14:paraId="203133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7.19.  Предусмотрена ответственность подрядчика  за непредставление информации о всех соисполнителях, субподрядчиках, заключивших договор или договоры с поставщиком (подрядчиком, исполнителем), цена которого или общая цена которых составляет более чем десять процентов цены контракта путем взыскания с поставщика (подрядчика, исполнителя) пени в размере одной трехсотой действующей на дату уплаты пени ключевой ставки Центрального банка Российской Федерации от цены договора, заключенного поставщиком (подрядчиком, исполнителем) с соисполнителем, субподрядчиком в соответствии с настоящей частью. Пеня подлежит начислению за каждый день просрочки исполнения такого обязательства. Данное условие действует в случае, если начальная (максимальная) цена Контракта превышает сто млн. рублей.</w:t>
      </w:r>
    </w:p>
    <w:p w14:paraId="5EF840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709"/>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7.20.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(подрядчик, исполнитель) вправе потребовать уплаты неустоек (штрафов, пеней).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 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контрактом в порядке, установленном Правительством Российской Федерации.</w:t>
      </w:r>
    </w:p>
    <w:p w14:paraId="79A2AF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709"/>
        <w:jc w:val="both"/>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7.21. Требования сторон об уплате неустоек (штрафов, пеней) направляются в порядке, который предусмотрен контрактом для направления уведомлений.</w:t>
      </w:r>
    </w:p>
    <w:p w14:paraId="66D061DE">
      <w:pPr>
        <w:widowControl w:val="0"/>
        <w:ind w:left="-15" w:firstLine="567"/>
        <w:jc w:val="center"/>
        <w:rPr>
          <w:rFonts w:ascii="Times New Roman" w:hAnsi="Times New Roman" w:eastAsia="PT Astra Serif" w:cs="Times New Roman"/>
          <w:b/>
          <w:bCs/>
          <w:color w:val="000000" w:themeColor="text1"/>
          <w:sz w:val="24"/>
          <w:szCs w:val="24"/>
          <w:highlight w:val="none"/>
          <w14:textFill>
            <w14:solidFill>
              <w14:schemeClr w14:val="tx1"/>
            </w14:solidFill>
          </w14:textFill>
        </w:rPr>
      </w:pPr>
      <w:r>
        <w:rPr>
          <w:rFonts w:ascii="Times New Roman" w:hAnsi="Times New Roman" w:eastAsia="PT Astra Serif" w:cs="Times New Roman"/>
          <w:b/>
          <w:bCs/>
          <w:color w:val="000000" w:themeColor="text1"/>
          <w:sz w:val="24"/>
          <w:szCs w:val="24"/>
          <w:highlight w:val="none"/>
          <w14:textFill>
            <w14:solidFill>
              <w14:schemeClr w14:val="tx1"/>
            </w14:solidFill>
          </w14:textFill>
        </w:rPr>
        <w:t>8. Обстоятельства непреодолимой силы.</w:t>
      </w:r>
    </w:p>
    <w:p w14:paraId="5D126B5E">
      <w:pPr>
        <w:widowControl w:val="0"/>
        <w:ind w:left="-15"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 xml:space="preserve">8.1. Стороны освобождаются от ответственности за частичное или полное невыполнение обязательств по Контракту, если оно явилось следствием обстоятельств непреодолимой силы (форс-мажор), а именно: пожара, наводнения, землетрясения, войны, военных действий, блокады, эмбарго, общих забастовок, запрещающих (либо ограничивающих) актов властей, и если эти обстоятельства непосредственно повлияли на исполнение Контракта.  </w:t>
      </w:r>
    </w:p>
    <w:p w14:paraId="1AEDA109">
      <w:pPr>
        <w:widowControl w:val="0"/>
        <w:ind w:left="-15"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 xml:space="preserve">8.2. В случае действия обстоятельств непреодолимой силы срок исполнения настоящего контракта сторонами отодвигается соразмерно времени, в течение которого действуют обстоятельства непреодолимой силы и их последствия. </w:t>
      </w:r>
    </w:p>
    <w:p w14:paraId="111DEA5F">
      <w:pPr>
        <w:widowControl w:val="0"/>
        <w:ind w:left="-15"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 xml:space="preserve">8.3. Сторона, которая не исполняет своего обязательства вследствие действия непреодолимой силы, должна немедленно уведомить другую сторону в письменном виде о препятствии и его влиянии на исполнение обязательств по контракту. </w:t>
      </w:r>
    </w:p>
    <w:p w14:paraId="78191D37">
      <w:pPr>
        <w:widowControl w:val="0"/>
        <w:ind w:left="-15"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 xml:space="preserve">8.4. Документ, выданный соответствующим компетентным органом, является достаточным подтверждением наличия и продолжительности действия непреодолимой силы. </w:t>
      </w:r>
    </w:p>
    <w:p w14:paraId="7580EF14">
      <w:pPr>
        <w:widowControl w:val="0"/>
        <w:ind w:left="-15"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 xml:space="preserve">8.5. В случае, когда обстоятельства действия непреодолимой силы и их последствия продолжат или будут продолжать действовать более 10 (десяти) дней, стороны в возможно короткий срок проведут переговоры с целью выявления приемлемых для всех сторон альтернативных способов исполнения контракта. </w:t>
      </w:r>
    </w:p>
    <w:p w14:paraId="2A18BA31">
      <w:pPr>
        <w:ind w:left="-15" w:firstLine="556"/>
        <w:jc w:val="center"/>
        <w:rPr>
          <w:rFonts w:ascii="Times New Roman" w:hAnsi="Times New Roman" w:eastAsia="PT Astra Serif" w:cs="Times New Roman"/>
          <w:b/>
          <w:bCs/>
          <w:color w:val="000000" w:themeColor="text1"/>
          <w:sz w:val="24"/>
          <w:szCs w:val="24"/>
          <w:highlight w:val="none"/>
          <w14:textFill>
            <w14:solidFill>
              <w14:schemeClr w14:val="tx1"/>
            </w14:solidFill>
          </w14:textFill>
        </w:rPr>
      </w:pPr>
      <w:r>
        <w:rPr>
          <w:rFonts w:ascii="Times New Roman" w:hAnsi="Times New Roman" w:eastAsia="PT Astra Serif" w:cs="Times New Roman"/>
          <w:b/>
          <w:bCs/>
          <w:color w:val="000000" w:themeColor="text1"/>
          <w:sz w:val="24"/>
          <w:szCs w:val="24"/>
          <w:highlight w:val="none"/>
          <w14:textFill>
            <w14:solidFill>
              <w14:schemeClr w14:val="tx1"/>
            </w14:solidFill>
          </w14:textFill>
        </w:rPr>
        <w:t>9. Обеспечение исполнения контракта</w:t>
      </w:r>
    </w:p>
    <w:p w14:paraId="4092448A">
      <w:pPr>
        <w:ind w:left="-15" w:firstLine="556"/>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 xml:space="preserve">9.1. Обеспечение исполнения Контракта </w:t>
      </w:r>
      <w:r>
        <w:rPr>
          <w:rFonts w:ascii="Times New Roman" w:hAnsi="Times New Roman" w:eastAsia="PT Astra Serif" w:cs="Times New Roman"/>
          <w:b/>
          <w:bCs/>
          <w:color w:val="000000" w:themeColor="text1"/>
          <w:sz w:val="24"/>
          <w:szCs w:val="24"/>
          <w:highlight w:val="none"/>
          <w14:textFill>
            <w14:solidFill>
              <w14:schemeClr w14:val="tx1"/>
            </w14:solidFill>
          </w14:textFill>
        </w:rPr>
        <w:t xml:space="preserve">не предусмотрено. </w:t>
      </w:r>
    </w:p>
    <w:p w14:paraId="62BD39DE">
      <w:pPr>
        <w:jc w:val="both"/>
        <w:outlineLvl w:val="1"/>
        <w:rPr>
          <w:rFonts w:ascii="Times New Roman" w:hAnsi="Times New Roman" w:cs="Times New Roman"/>
          <w:i/>
          <w:color w:val="000000" w:themeColor="text1"/>
          <w:sz w:val="24"/>
          <w:szCs w:val="24"/>
          <w:highlight w:val="none"/>
          <w14:textFill>
            <w14:solidFill>
              <w14:schemeClr w14:val="tx1"/>
            </w14:solidFill>
          </w14:textFill>
        </w:rPr>
      </w:pPr>
    </w:p>
    <w:p w14:paraId="33607A71">
      <w:pPr>
        <w:widowControl w:val="0"/>
        <w:ind w:left="585"/>
        <w:jc w:val="center"/>
        <w:rPr>
          <w:rFonts w:ascii="Times New Roman" w:hAnsi="Times New Roman" w:eastAsia="PT Astra Serif" w:cs="Times New Roman"/>
          <w:b/>
          <w:color w:val="000000" w:themeColor="text1"/>
          <w:sz w:val="24"/>
          <w:szCs w:val="24"/>
          <w:highlight w:val="none"/>
          <w14:textFill>
            <w14:solidFill>
              <w14:schemeClr w14:val="tx1"/>
            </w14:solidFill>
          </w14:textFill>
        </w:rPr>
      </w:pPr>
      <w:r>
        <w:rPr>
          <w:rFonts w:ascii="Times New Roman" w:hAnsi="Times New Roman" w:eastAsia="PT Astra Serif" w:cs="Times New Roman"/>
          <w:b/>
          <w:color w:val="000000" w:themeColor="text1"/>
          <w:sz w:val="24"/>
          <w:szCs w:val="24"/>
          <w:highlight w:val="none"/>
          <w14:textFill>
            <w14:solidFill>
              <w14:schemeClr w14:val="tx1"/>
            </w14:solidFill>
          </w14:textFill>
        </w:rPr>
        <w:t>10. Порядок изменения и расторжения контракта.</w:t>
      </w:r>
    </w:p>
    <w:p w14:paraId="3A284D3D">
      <w:pPr>
        <w:ind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10.1. Изменение существенных условий контракта при его исполнении не допускается, за исключением их изменения в случаях, предусмотренных законодательством Российской Федерации о контрактной системе в сфере закупок.:</w:t>
      </w:r>
    </w:p>
    <w:p w14:paraId="21A9258A">
      <w:pPr>
        <w:shd w:val="clear" w:color="auto" w:fill="FFFFFF"/>
        <w:spacing w:line="242" w:lineRule="atLeast"/>
        <w:ind w:firstLine="540"/>
        <w:jc w:val="both"/>
        <w:rPr>
          <w:rFonts w:ascii="Times New Roman" w:hAnsi="Times New Roman" w:cs="Times New Roman"/>
          <w:i/>
          <w:color w:val="000000" w:themeColor="text1"/>
          <w:sz w:val="24"/>
          <w:szCs w:val="24"/>
          <w:highlight w:val="none"/>
          <w14:textFill>
            <w14:solidFill>
              <w14:schemeClr w14:val="tx1"/>
            </w14:solidFill>
          </w14:textFill>
        </w:rPr>
      </w:pPr>
      <w:r>
        <w:rPr>
          <w:rFonts w:ascii="Times New Roman" w:hAnsi="Times New Roman" w:cs="Times New Roman"/>
          <w:i/>
          <w:color w:val="000000" w:themeColor="text1"/>
          <w:sz w:val="24"/>
          <w:szCs w:val="24"/>
          <w:highlight w:val="none"/>
          <w14:textFill>
            <w14:solidFill>
              <w14:schemeClr w14:val="tx1"/>
            </w14:solidFill>
          </w14:textFill>
        </w:rPr>
        <w:t>а) при снижении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w:t>
      </w:r>
    </w:p>
    <w:p w14:paraId="355A09A1">
      <w:pPr>
        <w:autoSpaceDE w:val="0"/>
        <w:autoSpaceDN w:val="0"/>
        <w:adjustRightInd w:val="0"/>
        <w:jc w:val="both"/>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pPr>
      <w:bookmarkStart w:id="7" w:name="dst1318"/>
      <w:bookmarkEnd w:id="7"/>
      <w:r>
        <w:rPr>
          <w:rFonts w:ascii="Times New Roman" w:hAnsi="Times New Roman" w:cs="Times New Roman"/>
          <w:i/>
          <w:color w:val="000000" w:themeColor="text1"/>
          <w:sz w:val="24"/>
          <w:szCs w:val="24"/>
          <w:highlight w:val="none"/>
          <w14:textFill>
            <w14:solidFill>
              <w14:schemeClr w14:val="tx1"/>
            </w14:solidFill>
          </w14:textFill>
        </w:rPr>
        <w:t xml:space="preserve">б) </w:t>
      </w:r>
      <w:bookmarkStart w:id="8" w:name="dst1319"/>
      <w:bookmarkEnd w:id="8"/>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если по предложению заказчика увеличиваются предусмотренные контрактом (за исключением контракта,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(памятников истории и культуры) народов Российской Федерации) количество товара, объем работы или услуги не более чем на десять процентов или уменьшаются предусмотренные контрактом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дополнительному объему работы или услуги исходя из установленной в контракте цены единицы товара, работы или услуги, но не более чем на десять процентов цены контракта. При уменьшении предусмотренных контрактом количества товара, объема работы или услуги стороны контракта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14:paraId="74BB7CDC">
      <w:pPr>
        <w:autoSpaceDE w:val="0"/>
        <w:autoSpaceDN w:val="0"/>
        <w:adjustRightInd w:val="0"/>
        <w:jc w:val="both"/>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pPr>
      <w:r>
        <w:rPr>
          <w:rFonts w:ascii="Times New Roman" w:hAnsi="Times New Roman" w:cs="Times New Roman"/>
          <w:i/>
          <w:color w:val="000000" w:themeColor="text1"/>
          <w:sz w:val="24"/>
          <w:szCs w:val="24"/>
          <w:highlight w:val="none"/>
          <w14:textFill>
            <w14:solidFill>
              <w14:schemeClr w14:val="tx1"/>
            </w14:solidFill>
          </w14:textFill>
        </w:rPr>
        <w:t xml:space="preserve">в) </w:t>
      </w:r>
      <w:bookmarkStart w:id="9" w:name="dst101314"/>
      <w:bookmarkEnd w:id="9"/>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 xml:space="preserve">при изменении объема и (или) видов выполняемых работ по контракту,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(памятников истории и культуры) народов Российской Федерации, а также по контрактам, предусмотренным </w:t>
      </w:r>
      <w:r>
        <w:rPr>
          <w:highlight w:val="none"/>
        </w:rPr>
        <w:fldChar w:fldCharType="begin"/>
      </w:r>
      <w:r>
        <w:rPr>
          <w:highlight w:val="none"/>
        </w:rPr>
        <w:instrText xml:space="preserve"> HYPERLINK "consultantplus://offline/ref=66AA7541D4CC6F4CAADC99BF59817D551B587CFCF7D5528BEE6F13284822EE678BC7AE2AF82CA834094E795461941291ADFCE2EB685ECE30I" </w:instrText>
      </w:r>
      <w:r>
        <w:rPr>
          <w:highlight w:val="none"/>
        </w:rPr>
        <w:fldChar w:fldCharType="separate"/>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частями 16</w:t>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fldChar w:fldCharType="end"/>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 xml:space="preserve"> и </w:t>
      </w:r>
      <w:r>
        <w:rPr>
          <w:highlight w:val="none"/>
        </w:rPr>
        <w:fldChar w:fldCharType="begin"/>
      </w:r>
      <w:r>
        <w:rPr>
          <w:highlight w:val="none"/>
        </w:rPr>
        <w:instrText xml:space="preserve"> HYPERLINK "consultantplus://offline/ref=66AA7541D4CC6F4CAADC99BF59817D551B587CFCF7D5528BEE6F13284822EE678BC7AE29FF20A56B0C5B680C6D920B8FAFE0FEE96AC53EI" </w:instrText>
      </w:r>
      <w:r>
        <w:rPr>
          <w:highlight w:val="none"/>
        </w:rPr>
        <w:fldChar w:fldCharType="separate"/>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16.1 статьи 34</w:t>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fldChar w:fldCharType="end"/>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 xml:space="preserve"> настоящего Федерального закона. При этом допускается изменение с учетом положений бюджетного законодательства Российской Федерации цены контракта не более чем на десять процентов цены контракта</w:t>
      </w:r>
    </w:p>
    <w:p w14:paraId="3E5F8835">
      <w:pPr>
        <w:shd w:val="clear" w:color="auto" w:fill="FFFFFF"/>
        <w:spacing w:line="242" w:lineRule="atLeast"/>
        <w:ind w:firstLine="540"/>
        <w:jc w:val="both"/>
        <w:rPr>
          <w:rFonts w:ascii="Times New Roman" w:hAnsi="Times New Roman" w:cs="Times New Roman"/>
          <w:i/>
          <w:color w:val="000000" w:themeColor="text1"/>
          <w:sz w:val="24"/>
          <w:szCs w:val="24"/>
          <w:highlight w:val="none"/>
          <w14:textFill>
            <w14:solidFill>
              <w14:schemeClr w14:val="tx1"/>
            </w14:solidFill>
          </w14:textFill>
        </w:rPr>
      </w:pPr>
      <w:r>
        <w:rPr>
          <w:rFonts w:ascii="Times New Roman" w:hAnsi="Times New Roman" w:cs="Times New Roman"/>
          <w:i/>
          <w:color w:val="000000" w:themeColor="text1"/>
          <w:sz w:val="24"/>
          <w:szCs w:val="24"/>
          <w:highlight w:val="none"/>
          <w14:textFill>
            <w14:solidFill>
              <w14:schemeClr w14:val="tx1"/>
            </w14:solidFill>
          </w14:textFill>
        </w:rPr>
        <w:t>2) если цена заключенного для обеспечения федеральных нужд на срок не менее чем три года контракта составляет либо превышает </w:t>
      </w:r>
      <w:r>
        <w:rPr>
          <w:highlight w:val="none"/>
        </w:rPr>
        <w:fldChar w:fldCharType="begin"/>
      </w:r>
      <w:r>
        <w:rPr>
          <w:highlight w:val="none"/>
        </w:rPr>
        <w:instrText xml:space="preserve"> HYPERLINK "http://www.consultant.ru/document/cons_doc_LAW_329917/" \l "dst100006" </w:instrText>
      </w:r>
      <w:r>
        <w:rPr>
          <w:highlight w:val="none"/>
        </w:rPr>
        <w:fldChar w:fldCharType="separate"/>
      </w:r>
      <w:r>
        <w:rPr>
          <w:rFonts w:ascii="Times New Roman" w:hAnsi="Times New Roman" w:cs="Times New Roman"/>
          <w:i/>
          <w:color w:val="000000" w:themeColor="text1"/>
          <w:sz w:val="24"/>
          <w:szCs w:val="24"/>
          <w:highlight w:val="none"/>
          <w14:textFill>
            <w14:solidFill>
              <w14:schemeClr w14:val="tx1"/>
            </w14:solidFill>
          </w14:textFill>
        </w:rPr>
        <w:t>размер цены</w:t>
      </w:r>
      <w:r>
        <w:rPr>
          <w:rFonts w:ascii="Times New Roman" w:hAnsi="Times New Roman" w:cs="Times New Roman"/>
          <w:i/>
          <w:color w:val="000000" w:themeColor="text1"/>
          <w:sz w:val="24"/>
          <w:szCs w:val="24"/>
          <w:highlight w:val="none"/>
          <w14:textFill>
            <w14:solidFill>
              <w14:schemeClr w14:val="tx1"/>
            </w14:solidFill>
          </w14:textFill>
        </w:rPr>
        <w:fldChar w:fldCharType="end"/>
      </w:r>
      <w:r>
        <w:rPr>
          <w:rFonts w:ascii="Times New Roman" w:hAnsi="Times New Roman" w:cs="Times New Roman"/>
          <w:i/>
          <w:color w:val="000000" w:themeColor="text1"/>
          <w:sz w:val="24"/>
          <w:szCs w:val="24"/>
          <w:highlight w:val="none"/>
          <w14:textFill>
            <w14:solidFill>
              <w14:schemeClr w14:val="tx1"/>
            </w14:solidFill>
          </w14:textFill>
        </w:rPr>
        <w:t>, установленный Правительством Российской Федерации, и исполнение указанного контракта по независящим от сторон контракта обстоятельствам без изменения его условий невозможно, данные условия могут быть изменены на основании решения Правительства Российской Федерации;</w:t>
      </w:r>
    </w:p>
    <w:p w14:paraId="78AE5046">
      <w:pPr>
        <w:autoSpaceDE w:val="0"/>
        <w:autoSpaceDN w:val="0"/>
        <w:adjustRightInd w:val="0"/>
        <w:jc w:val="both"/>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pPr>
      <w:bookmarkStart w:id="10" w:name="dst101315"/>
      <w:bookmarkEnd w:id="10"/>
      <w:r>
        <w:rPr>
          <w:rFonts w:ascii="Times New Roman" w:hAnsi="Times New Roman" w:cs="Times New Roman"/>
          <w:i/>
          <w:color w:val="000000" w:themeColor="text1"/>
          <w:sz w:val="24"/>
          <w:szCs w:val="24"/>
          <w:highlight w:val="none"/>
          <w14:textFill>
            <w14:solidFill>
              <w14:schemeClr w14:val="tx1"/>
            </w14:solidFill>
          </w14:textFill>
        </w:rPr>
        <w:t xml:space="preserve">3) </w:t>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 xml:space="preserve">если при исполнении заключенного на срок не менее одного года контракта, предусмотренного </w:t>
      </w:r>
      <w:r>
        <w:rPr>
          <w:highlight w:val="none"/>
        </w:rPr>
        <w:fldChar w:fldCharType="begin"/>
      </w:r>
      <w:r>
        <w:rPr>
          <w:highlight w:val="none"/>
        </w:rPr>
        <w:instrText xml:space="preserve"> HYPERLINK "consultantplus://offline/ref=0134341CE65C7BED1F97156CF5796775498815514CA89157CC586E295118E3D6574A7D155CA5D14F87B8F9FE0D67DED9FB51E1207F6B4437I" </w:instrText>
      </w:r>
      <w:r>
        <w:rPr>
          <w:highlight w:val="none"/>
        </w:rPr>
        <w:fldChar w:fldCharType="separate"/>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частью 16</w:t>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fldChar w:fldCharType="end"/>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 xml:space="preserve"> (при условии, что контракт жизненного цикла предусматривает проектирование, строительство, реконструкцию, капитальный ремонт объекта капитального строительства) и </w:t>
      </w:r>
      <w:r>
        <w:rPr>
          <w:highlight w:val="none"/>
        </w:rPr>
        <w:fldChar w:fldCharType="begin"/>
      </w:r>
      <w:r>
        <w:rPr>
          <w:highlight w:val="none"/>
        </w:rPr>
        <w:instrText xml:space="preserve"> HYPERLINK "consultantplus://offline/ref=0134341CE65C7BED1F97156CF5796775498815514CA89157CC586E295118E3D6574A7D165BA9DC1082ADE8A60161C7C7F94DFD227D463BI" </w:instrText>
      </w:r>
      <w:r>
        <w:rPr>
          <w:highlight w:val="none"/>
        </w:rPr>
        <w:fldChar w:fldCharType="separate"/>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частью 16.1 статьи 34</w:t>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fldChar w:fldCharType="end"/>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 xml:space="preserve"> настоящего Федерального закона, контракта,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цена которого составляет или превышает </w:t>
      </w:r>
      <w:r>
        <w:rPr>
          <w:highlight w:val="none"/>
        </w:rPr>
        <w:fldChar w:fldCharType="begin"/>
      </w:r>
      <w:r>
        <w:rPr>
          <w:highlight w:val="none"/>
        </w:rPr>
        <w:instrText xml:space="preserve"> HYPERLINK "consultantplus://offline/ref=0134341CE65C7BED1F97156CF57967754E801B5848A89157CC586E295118E3D6574A7D1355F5860086E4BCAC1E66DBD9F953FD4230I" </w:instrText>
      </w:r>
      <w:r>
        <w:rPr>
          <w:highlight w:val="none"/>
        </w:rPr>
        <w:fldChar w:fldCharType="separate"/>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предельный размер</w:t>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fldChar w:fldCharType="end"/>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 xml:space="preserve"> (предельные размеры) цены, установленный Правительством Российской Федерации, возникли независящие от сторон контракта обстоятельства, влекущие невозможность его исполнения, в том числе необходимость внесения изменений в проектную документацию. Предусмотренное настоящим пунктом изменение осуществляется при наличии в письменной форме обоснования такого изменения на основании </w:t>
      </w:r>
      <w:r>
        <w:rPr>
          <w:highlight w:val="none"/>
        </w:rPr>
        <w:fldChar w:fldCharType="begin"/>
      </w:r>
      <w:r>
        <w:rPr>
          <w:highlight w:val="none"/>
        </w:rPr>
        <w:instrText xml:space="preserve"> HYPERLINK "consultantplus://offline/ref=0134341CE65C7BED1F97156CF57967754E801B5848A69157CC586E295118E3D6574A7D165EA1D744D5E2E9FA4433D4C6FC4DFF20616B45D04334I" </w:instrText>
      </w:r>
      <w:r>
        <w:rPr>
          <w:highlight w:val="none"/>
        </w:rPr>
        <w:fldChar w:fldCharType="separate"/>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решения</w:t>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fldChar w:fldCharType="end"/>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 xml:space="preserve"> Правительства Российской Федерации, высшего исполнительного органа государственной власти субъекта Российской Федерации, местной администрации при осуществлении закупки для федеральных нужд, нужд субъекта Российской Федерации, муниципальных нужд соответственно и при условии, что такое изменение не приведет к увеличению срока исполнения контракта и (или) цены контракта более чем на тридцать процентов. При этом в указанный срок не включается срок получения в соответствии с законодательством о градостроительной деятельности положительного заключения экспертизы проектной документации в случае необходимости внесения в нее изменений</w:t>
      </w:r>
    </w:p>
    <w:p w14:paraId="0C71FD87">
      <w:pPr>
        <w:shd w:val="clear" w:color="auto" w:fill="FFFFFF"/>
        <w:spacing w:line="242" w:lineRule="atLeast"/>
        <w:jc w:val="both"/>
        <w:rPr>
          <w:rFonts w:ascii="Times New Roman" w:hAnsi="Times New Roman" w:cs="Times New Roman"/>
          <w:i/>
          <w:color w:val="000000" w:themeColor="text1"/>
          <w:sz w:val="24"/>
          <w:szCs w:val="24"/>
          <w:highlight w:val="none"/>
          <w14:textFill>
            <w14:solidFill>
              <w14:schemeClr w14:val="tx1"/>
            </w14:solidFill>
          </w14:textFill>
        </w:rPr>
      </w:pPr>
    </w:p>
    <w:p w14:paraId="063E08DD">
      <w:pPr>
        <w:autoSpaceDE w:val="0"/>
        <w:autoSpaceDN w:val="0"/>
        <w:adjustRightInd w:val="0"/>
        <w:jc w:val="both"/>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pPr>
      <w:bookmarkStart w:id="11" w:name="dst101316"/>
      <w:bookmarkEnd w:id="11"/>
      <w:r>
        <w:rPr>
          <w:rFonts w:ascii="Times New Roman" w:hAnsi="Times New Roman" w:cs="Times New Roman"/>
          <w:i/>
          <w:color w:val="000000" w:themeColor="text1"/>
          <w:sz w:val="24"/>
          <w:szCs w:val="24"/>
          <w:highlight w:val="none"/>
          <w14:textFill>
            <w14:solidFill>
              <w14:schemeClr w14:val="tx1"/>
            </w14:solidFill>
          </w14:textFill>
        </w:rPr>
        <w:t>4</w:t>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 xml:space="preserve">)если контракт, предусмотренный </w:t>
      </w:r>
      <w:r>
        <w:rPr>
          <w:highlight w:val="none"/>
        </w:rPr>
        <w:fldChar w:fldCharType="begin"/>
      </w:r>
      <w:r>
        <w:rPr>
          <w:highlight w:val="none"/>
        </w:rPr>
        <w:instrText xml:space="preserve"> HYPERLINK "consultantplus://offline/ref=5E91A4ECF95A3883FA466ADAAA70FDD9C007E2A75FE6214AFE0510F730EC86449C58C3AB5DD186A2D4C13357F91A6F8D79AA215AD23DR949I" </w:instrText>
      </w:r>
      <w:r>
        <w:rPr>
          <w:highlight w:val="none"/>
        </w:rPr>
        <w:fldChar w:fldCharType="separate"/>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частью 16</w:t>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fldChar w:fldCharType="end"/>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 xml:space="preserve"> (при условии, что контракт жизненного цикла предусматривает проектирование, строительство, реконструкцию, капитальный ремонт объекта капитального строительства) и </w:t>
      </w:r>
      <w:r>
        <w:rPr>
          <w:highlight w:val="none"/>
        </w:rPr>
        <w:fldChar w:fldCharType="begin"/>
      </w:r>
      <w:r>
        <w:rPr>
          <w:highlight w:val="none"/>
        </w:rPr>
        <w:instrText xml:space="preserve"> HYPERLINK "consultantplus://offline/ref=5E91A4ECF95A3883FA466ADAAA70FDD9C007E2A75FE6214AFE0510F730EC86449C58C3A85ADD8BFDD1D4220FF51C76937BB63D58D0R34DI" </w:instrText>
      </w:r>
      <w:r>
        <w:rPr>
          <w:highlight w:val="none"/>
        </w:rPr>
        <w:fldChar w:fldCharType="separate"/>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частью 16.1 статьи 34</w:t>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fldChar w:fldCharType="end"/>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 xml:space="preserve"> настоящего Федерального закона, контракт,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по независящим от сторон контракта обстоятельствам, влекущим невозможность его исполнения, в том числе необходимость внесения изменений в проектную документацию, либо по вине подрядчика не исполнен в установленный в контракте срок, допускается однократное изменение срока исполнения контракта на срок, не превышающий срока исполнения контракта, предусмотренного при его заключении. При этом в случае, если обеспечение исполнения контракта осуществлено путем внесения денежных средств, по соглашению сторон определяется новый срок возврата заказчиком подрядчику денежных средств, внесенных в качестве обеспечения исполнения контракта. В случае неисполнения контракта в срок по вине подрядчика предусмотренное настоящим пунктом изменение срока осуществляется при условии отсутствия неисполненных подрядчиком требований об уплате неустоек (штрафов, пеней), предъявленных заказчиком в соответствии с настоящим Федеральным законом, предоставления подрядчиком в соответствии с настоящим Федеральным законом обеспечения исполнения контракта</w:t>
      </w:r>
    </w:p>
    <w:p w14:paraId="1BB843B1">
      <w:pPr>
        <w:shd w:val="clear" w:color="auto" w:fill="FFFFFF"/>
        <w:spacing w:line="242" w:lineRule="atLeast"/>
        <w:ind w:firstLine="540"/>
        <w:jc w:val="both"/>
        <w:rPr>
          <w:rFonts w:ascii="Times New Roman" w:hAnsi="Times New Roman" w:cs="Times New Roman"/>
          <w:i/>
          <w:color w:val="000000" w:themeColor="text1"/>
          <w:sz w:val="24"/>
          <w:szCs w:val="24"/>
          <w:highlight w:val="none"/>
          <w14:textFill>
            <w14:solidFill>
              <w14:schemeClr w14:val="tx1"/>
            </w14:solidFill>
          </w14:textFill>
        </w:rPr>
      </w:pPr>
    </w:p>
    <w:p w14:paraId="792ED7F6">
      <w:pPr>
        <w:autoSpaceDE w:val="0"/>
        <w:autoSpaceDN w:val="0"/>
        <w:adjustRightInd w:val="0"/>
        <w:jc w:val="both"/>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pPr>
      <w:bookmarkStart w:id="12" w:name="dst101792"/>
      <w:bookmarkEnd w:id="12"/>
      <w:r>
        <w:rPr>
          <w:rFonts w:ascii="Times New Roman" w:hAnsi="Times New Roman" w:cs="Times New Roman"/>
          <w:i/>
          <w:color w:val="000000" w:themeColor="text1"/>
          <w:sz w:val="24"/>
          <w:szCs w:val="24"/>
          <w:highlight w:val="none"/>
          <w14:textFill>
            <w14:solidFill>
              <w14:schemeClr w14:val="tx1"/>
            </w14:solidFill>
          </w14:textFill>
        </w:rPr>
        <w:t xml:space="preserve">5) </w:t>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 xml:space="preserve">если при исполнении заключенного на срок не менее одного года контракта, предусмотренного </w:t>
      </w:r>
      <w:r>
        <w:rPr>
          <w:highlight w:val="none"/>
        </w:rPr>
        <w:fldChar w:fldCharType="begin"/>
      </w:r>
      <w:r>
        <w:rPr>
          <w:highlight w:val="none"/>
        </w:rPr>
        <w:instrText xml:space="preserve"> HYPERLINK "consultantplus://offline/ref=06CB4330168F14AC5CDA6C4776B862C0B1D1B6E4A1628FF540B83875AA2DB2A0FD9C50FA590CFAFE8360B9904D69368E49EE2AC1804CM35AI" </w:instrText>
      </w:r>
      <w:r>
        <w:rPr>
          <w:highlight w:val="none"/>
        </w:rPr>
        <w:fldChar w:fldCharType="separate"/>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частью 16</w:t>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fldChar w:fldCharType="end"/>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 xml:space="preserve"> (при условии, что контракт жизненного цикла предусматривает проектирование, строительство, реконструкцию, капитальный ремонт объекта капитального строительства) и </w:t>
      </w:r>
      <w:r>
        <w:rPr>
          <w:highlight w:val="none"/>
        </w:rPr>
        <w:fldChar w:fldCharType="begin"/>
      </w:r>
      <w:r>
        <w:rPr>
          <w:highlight w:val="none"/>
        </w:rPr>
        <w:instrText xml:space="preserve"> HYPERLINK "consultantplus://offline/ref=06CB4330168F14AC5CDA6C4776B862C0B1D1B6E4A1628FF540B83875AA2DB2A0FD9C50F95E00F7A18675A8C8416F2F904BF236C382M45CI" </w:instrText>
      </w:r>
      <w:r>
        <w:rPr>
          <w:highlight w:val="none"/>
        </w:rPr>
        <w:fldChar w:fldCharType="separate"/>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частью 16.1 статьи 34</w:t>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fldChar w:fldCharType="end"/>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 xml:space="preserve"> настоящего Федерального закона, контракта,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цена которого составляет или превышает </w:t>
      </w:r>
      <w:r>
        <w:rPr>
          <w:highlight w:val="none"/>
        </w:rPr>
        <w:fldChar w:fldCharType="begin"/>
      </w:r>
      <w:r>
        <w:rPr>
          <w:highlight w:val="none"/>
        </w:rPr>
        <w:instrText xml:space="preserve"> HYPERLINK "consultantplus://offline/ref=06CB4330168F14AC5CDA6C4776B862C0B6D9B8EDA5628FF540B83875AA2DB2A0FD9C50FC505CADB1823CFCC25E68338E4BEC36MC51I" </w:instrText>
      </w:r>
      <w:r>
        <w:rPr>
          <w:highlight w:val="none"/>
        </w:rPr>
        <w:fldChar w:fldCharType="separate"/>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предельный размер</w:t>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fldChar w:fldCharType="end"/>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 xml:space="preserve"> (предельные размеры) цены, установленный Правительством Российской Федерации, возникли независящие от сторон контракта обстоятельства, влекущие невозможность его исполнения, в том числе необходимость внесения изменений в проектную документацию. Предусмотренное настоящим пунктом изменение осуществляется при наличии в письменной форме обоснования такого изменения на основании </w:t>
      </w:r>
      <w:r>
        <w:rPr>
          <w:highlight w:val="none"/>
        </w:rPr>
        <w:fldChar w:fldCharType="begin"/>
      </w:r>
      <w:r>
        <w:rPr>
          <w:highlight w:val="none"/>
        </w:rPr>
        <w:instrText xml:space="preserve"> HYPERLINK "consultantplus://offline/ref=06CB4330168F14AC5CDA6C4776B862C0B6D9B8EDA56C8FF540B83875AA2DB2A0FD9C50F95B08FCF5D13AA994043D3C914EF234C19E4C38DFMF5FI" </w:instrText>
      </w:r>
      <w:r>
        <w:rPr>
          <w:highlight w:val="none"/>
        </w:rPr>
        <w:fldChar w:fldCharType="separate"/>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решения</w:t>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fldChar w:fldCharType="end"/>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 xml:space="preserve"> Правительства Российской Федерации, высшего исполнительного органа государственной власти субъекта Российской Федерации, местной администрации при осуществлении закупки для федеральных нужд, нужд субъекта Российской Федерации, муниципальных нужд соответственно и при условии, что такое изменение не приведет к увеличению срока исполнения контракта и (или) цены контракта более чем на тридцать процентов. При этом в указанный срок не включается срок получения в соответствии с законодательством о градостроительной деятельности положительного заключения экспертизы проектной документации в случае необходимости внесения в нее изменений;</w:t>
      </w:r>
    </w:p>
    <w:p w14:paraId="5B09B761">
      <w:pPr>
        <w:autoSpaceDE w:val="0"/>
        <w:autoSpaceDN w:val="0"/>
        <w:adjustRightInd w:val="0"/>
        <w:jc w:val="both"/>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pP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 xml:space="preserve">(п. 8 введен Федеральным </w:t>
      </w:r>
      <w:r>
        <w:rPr>
          <w:highlight w:val="none"/>
        </w:rPr>
        <w:fldChar w:fldCharType="begin"/>
      </w:r>
      <w:r>
        <w:rPr>
          <w:highlight w:val="none"/>
        </w:rPr>
        <w:instrText xml:space="preserve"> HYPERLINK "consultantplus://offline/ref=06CB4330168F14AC5CDA6C4776B862C0B1D1B7EAA26C8FF540B83875AA2DB2A0FD9C50F95B08FEFCDF3AA994043D3C914EF234C19E4C38DFMF5FI" </w:instrText>
      </w:r>
      <w:r>
        <w:rPr>
          <w:highlight w:val="none"/>
        </w:rPr>
        <w:fldChar w:fldCharType="separate"/>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законом</w:t>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fldChar w:fldCharType="end"/>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 xml:space="preserve"> от 01.05.2019 N 71-ФЗ; в ред. Федерального </w:t>
      </w:r>
      <w:r>
        <w:rPr>
          <w:highlight w:val="none"/>
        </w:rPr>
        <w:fldChar w:fldCharType="begin"/>
      </w:r>
      <w:r>
        <w:rPr>
          <w:highlight w:val="none"/>
        </w:rPr>
        <w:instrText xml:space="preserve"> HYPERLINK "consultantplus://offline/ref=06CB4330168F14AC5CDA6C4776B862C0B1D1B7EFA26D8FF540B83875AA2DB2A0FD9C50F95B09FCF6D13AA994043D3C914EF234C19E4C38DFMF5FI" </w:instrText>
      </w:r>
      <w:r>
        <w:rPr>
          <w:highlight w:val="none"/>
        </w:rPr>
        <w:fldChar w:fldCharType="separate"/>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закона</w:t>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fldChar w:fldCharType="end"/>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 xml:space="preserve"> от 02.07.2021 N 360-ФЗ)</w:t>
      </w:r>
    </w:p>
    <w:p w14:paraId="68FB499D">
      <w:pPr>
        <w:autoSpaceDE w:val="0"/>
        <w:autoSpaceDN w:val="0"/>
        <w:adjustRightInd w:val="0"/>
        <w:spacing w:before="200"/>
        <w:ind w:firstLine="540"/>
        <w:jc w:val="both"/>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pP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 xml:space="preserve">6) если контракт, предусмотренный </w:t>
      </w:r>
      <w:r>
        <w:rPr>
          <w:highlight w:val="none"/>
        </w:rPr>
        <w:fldChar w:fldCharType="begin"/>
      </w:r>
      <w:r>
        <w:rPr>
          <w:highlight w:val="none"/>
        </w:rPr>
        <w:instrText xml:space="preserve"> HYPERLINK "consultantplus://offline/ref=06CB4330168F14AC5CDA6C4776B862C0B1D1B6E4A1628FF540B83875AA2DB2A0FD9C50FA590CFAFE8360B9904D69368E49EE2AC1804CM35AI" </w:instrText>
      </w:r>
      <w:r>
        <w:rPr>
          <w:highlight w:val="none"/>
        </w:rPr>
        <w:fldChar w:fldCharType="separate"/>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частью 16</w:t>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fldChar w:fldCharType="end"/>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 xml:space="preserve"> (при условии, что контракт жизненного цикла предусматривает проектирование, строительство, реконструкцию, капитальный ремонт объекта капитального строительства) и </w:t>
      </w:r>
      <w:r>
        <w:rPr>
          <w:highlight w:val="none"/>
        </w:rPr>
        <w:fldChar w:fldCharType="begin"/>
      </w:r>
      <w:r>
        <w:rPr>
          <w:highlight w:val="none"/>
        </w:rPr>
        <w:instrText xml:space="preserve"> HYPERLINK "consultantplus://offline/ref=06CB4330168F14AC5CDA6C4776B862C0B1D1B6E4A1628FF540B83875AA2DB2A0FD9C50F95E00F7A18675A8C8416F2F904BF236C382M45CI" </w:instrText>
      </w:r>
      <w:r>
        <w:rPr>
          <w:highlight w:val="none"/>
        </w:rPr>
        <w:fldChar w:fldCharType="separate"/>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частью 16.1 статьи 34</w:t>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fldChar w:fldCharType="end"/>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 xml:space="preserve"> настоящего Федерального закона, контракт,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по независящим от сторон контракта обстоятельствам, влекущим невозможность его исполнения, в том числе необходимость внесения изменений в проектную документацию, либо по вине подрядчика не исполнен в установленный в контракте срок, допускается однократное изменение срока исполнения контракта на срок, не превышающий срока исполнения контракта, предусмотренного при его заключении. При этом в случае, если обеспечение исполнения контракта осуществлено путем внесения денежных средств, по соглашению сторон определяется новый срок возврата заказчиком подрядчику денежных средств, внесенных в качестве обеспечения исполнения контракта. В случае неисполнения контракта в срок по вине подрядчика предусмотренное настоящим пунктом изменение срока осуществляется при условии отсутствия неисполненных подрядчиком требований об уплате неустоек (штрафов, пеней), предъявленных заказчиком в соответствии с настоящим Федеральным законом, предоставления подрядчиком в соответствии с настоящим Федеральным законом обеспечения исполнения контракта;</w:t>
      </w:r>
    </w:p>
    <w:p w14:paraId="06B302B1">
      <w:pPr>
        <w:autoSpaceDE w:val="0"/>
        <w:autoSpaceDN w:val="0"/>
        <w:adjustRightInd w:val="0"/>
        <w:jc w:val="both"/>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pP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 xml:space="preserve">(п. 9 введен Федеральным </w:t>
      </w:r>
      <w:r>
        <w:rPr>
          <w:highlight w:val="none"/>
        </w:rPr>
        <w:fldChar w:fldCharType="begin"/>
      </w:r>
      <w:r>
        <w:rPr>
          <w:highlight w:val="none"/>
        </w:rPr>
        <w:instrText xml:space="preserve"> HYPERLINK "consultantplus://offline/ref=06CB4330168F14AC5CDA6C4776B862C0B1D1B7EAA26C8FF540B83875AA2DB2A0FD9C50F95B08FFF5D73AA994043D3C914EF234C19E4C38DFMF5FI" </w:instrText>
      </w:r>
      <w:r>
        <w:rPr>
          <w:highlight w:val="none"/>
        </w:rPr>
        <w:fldChar w:fldCharType="separate"/>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законом</w:t>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fldChar w:fldCharType="end"/>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 xml:space="preserve"> от 01.05.2019 N 71-ФЗ; в ред. Федерального </w:t>
      </w:r>
      <w:r>
        <w:rPr>
          <w:highlight w:val="none"/>
        </w:rPr>
        <w:fldChar w:fldCharType="begin"/>
      </w:r>
      <w:r>
        <w:rPr>
          <w:highlight w:val="none"/>
        </w:rPr>
        <w:instrText xml:space="preserve"> HYPERLINK "consultantplus://offline/ref=06CB4330168F14AC5CDA6C4776B862C0B1D1B7EFA26D8FF540B83875AA2DB2A0FD9C50F95B09FCF6D03AA994043D3C914EF234C19E4C38DFMF5FI" </w:instrText>
      </w:r>
      <w:r>
        <w:rPr>
          <w:highlight w:val="none"/>
        </w:rPr>
        <w:fldChar w:fldCharType="separate"/>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закона</w:t>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fldChar w:fldCharType="end"/>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 xml:space="preserve"> от 02.07.2021 N 360-ФЗ)</w:t>
      </w:r>
    </w:p>
    <w:p w14:paraId="175B70D7">
      <w:pPr>
        <w:autoSpaceDE w:val="0"/>
        <w:autoSpaceDN w:val="0"/>
        <w:adjustRightInd w:val="0"/>
        <w:spacing w:before="200"/>
        <w:ind w:firstLine="540"/>
        <w:jc w:val="both"/>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pP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 xml:space="preserve">7) в случае заключения контракта с единственным поставщиком (подрядчиком, исполнителем) в соответствии с </w:t>
      </w:r>
      <w:r>
        <w:rPr>
          <w:highlight w:val="none"/>
        </w:rPr>
        <w:fldChar w:fldCharType="begin"/>
      </w:r>
      <w:r>
        <w:rPr>
          <w:highlight w:val="none"/>
        </w:rPr>
        <w:instrText xml:space="preserve"> HYPERLINK "consultantplus://offline/ref=06CB4330168F14AC5CDA6C4776B862C0B1D1B6E4A1628FF540B83875AA2DB2A0FD9C50F95B09F5F0D13AA994043D3C914EF234C19E4C38DFMF5FI" </w:instrText>
      </w:r>
      <w:r>
        <w:rPr>
          <w:highlight w:val="none"/>
        </w:rPr>
        <w:fldChar w:fldCharType="separate"/>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пунктами 1</w:t>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fldChar w:fldCharType="end"/>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 xml:space="preserve">, </w:t>
      </w:r>
      <w:r>
        <w:rPr>
          <w:highlight w:val="none"/>
        </w:rPr>
        <w:fldChar w:fldCharType="begin"/>
      </w:r>
      <w:r>
        <w:rPr>
          <w:highlight w:val="none"/>
        </w:rPr>
        <w:instrText xml:space="preserve"> HYPERLINK "consultantplus://offline/ref=06CB4330168F14AC5CDA6C4776B862C0B1D1B6E4A1628FF540B83875AA2DB2A0FD9C50FB5809F7A18675A8C8416F2F904BF236C382M45CI" </w:instrText>
      </w:r>
      <w:r>
        <w:rPr>
          <w:highlight w:val="none"/>
        </w:rPr>
        <w:fldChar w:fldCharType="separate"/>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8</w:t>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fldChar w:fldCharType="end"/>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 xml:space="preserve">, </w:t>
      </w:r>
      <w:r>
        <w:rPr>
          <w:highlight w:val="none"/>
        </w:rPr>
        <w:fldChar w:fldCharType="begin"/>
      </w:r>
      <w:r>
        <w:rPr>
          <w:highlight w:val="none"/>
        </w:rPr>
        <w:instrText xml:space="preserve"> HYPERLINK "consultantplus://offline/ref=06CB4330168F14AC5CDA6C4776B862C0B1D1B6E4A1628FF540B83875AA2DB2A0FD9C50F95B09FEF2DE3AA994043D3C914EF234C19E4C38DFMF5FI" </w:instrText>
      </w:r>
      <w:r>
        <w:rPr>
          <w:highlight w:val="none"/>
        </w:rPr>
        <w:fldChar w:fldCharType="separate"/>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22</w:t>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fldChar w:fldCharType="end"/>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 xml:space="preserve">, </w:t>
      </w:r>
      <w:r>
        <w:rPr>
          <w:highlight w:val="none"/>
        </w:rPr>
        <w:fldChar w:fldCharType="begin"/>
      </w:r>
      <w:r>
        <w:rPr>
          <w:highlight w:val="none"/>
        </w:rPr>
        <w:instrText xml:space="preserve"> HYPERLINK "consultantplus://offline/ref=06CB4330168F14AC5CDA6C4776B862C0B1D1B6E4A1628FF540B83875AA2DB2A0FD9C50FA5303A8A49364F0C44776319257EE34C1M852I" </w:instrText>
      </w:r>
      <w:r>
        <w:rPr>
          <w:highlight w:val="none"/>
        </w:rPr>
        <w:fldChar w:fldCharType="separate"/>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23</w:t>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fldChar w:fldCharType="end"/>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 xml:space="preserve">, </w:t>
      </w:r>
      <w:r>
        <w:rPr>
          <w:highlight w:val="none"/>
        </w:rPr>
        <w:fldChar w:fldCharType="begin"/>
      </w:r>
      <w:r>
        <w:rPr>
          <w:highlight w:val="none"/>
        </w:rPr>
        <w:instrText xml:space="preserve"> HYPERLINK "consultantplus://offline/ref=06CB4330168F14AC5CDA6C4776B862C0B1D1B6E4A1628FF540B83875AA2DB2A0FD9C50F95B09FBFDD33AA994043D3C914EF234C19E4C38DFMF5FI" </w:instrText>
      </w:r>
      <w:r>
        <w:rPr>
          <w:highlight w:val="none"/>
        </w:rPr>
        <w:fldChar w:fldCharType="separate"/>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29</w:t>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fldChar w:fldCharType="end"/>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 xml:space="preserve">, </w:t>
      </w:r>
      <w:r>
        <w:rPr>
          <w:highlight w:val="none"/>
        </w:rPr>
        <w:fldChar w:fldCharType="begin"/>
      </w:r>
      <w:r>
        <w:rPr>
          <w:highlight w:val="none"/>
        </w:rPr>
        <w:instrText xml:space="preserve"> HYPERLINK "consultantplus://offline/ref=06CB4330168F14AC5CDA6C4776B862C0B1D1B6E4A1628FF540B83875AA2DB2A0FD9C50F95B09F5F3D23AA994043D3C914EF234C19E4C38DFMF5FI" </w:instrText>
      </w:r>
      <w:r>
        <w:rPr>
          <w:highlight w:val="none"/>
        </w:rPr>
        <w:fldChar w:fldCharType="separate"/>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32</w:t>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fldChar w:fldCharType="end"/>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 xml:space="preserve">, </w:t>
      </w:r>
      <w:r>
        <w:rPr>
          <w:highlight w:val="none"/>
        </w:rPr>
        <w:fldChar w:fldCharType="begin"/>
      </w:r>
      <w:r>
        <w:rPr>
          <w:highlight w:val="none"/>
        </w:rPr>
        <w:instrText xml:space="preserve"> HYPERLINK "consultantplus://offline/ref=06CB4330168F14AC5CDA6C4776B862C0B1D1B6E4A1628FF540B83875AA2DB2A0FD9C50FA5D01F7A18675A8C8416F2F904BF236C382M45CI" </w:instrText>
      </w:r>
      <w:r>
        <w:rPr>
          <w:highlight w:val="none"/>
        </w:rPr>
        <w:fldChar w:fldCharType="separate"/>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34</w:t>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fldChar w:fldCharType="end"/>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 xml:space="preserve">, </w:t>
      </w:r>
      <w:r>
        <w:rPr>
          <w:highlight w:val="none"/>
        </w:rPr>
        <w:fldChar w:fldCharType="begin"/>
      </w:r>
      <w:r>
        <w:rPr>
          <w:highlight w:val="none"/>
        </w:rPr>
        <w:instrText xml:space="preserve"> HYPERLINK "consultantplus://offline/ref=06CB4330168F14AC5CDA6C4776B862C0B1D1B6E4A1628FF540B83875AA2DB2A0FD9C50F95B0AFCF7D43AA994043D3C914EF234C19E4C38DFMF5FI" </w:instrText>
      </w:r>
      <w:r>
        <w:rPr>
          <w:highlight w:val="none"/>
        </w:rPr>
        <w:fldChar w:fldCharType="separate"/>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51 части 1 статьи 93</w:t>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fldChar w:fldCharType="end"/>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 xml:space="preserve"> настоящего Федерального закона;</w:t>
      </w:r>
    </w:p>
    <w:p w14:paraId="59A1C185">
      <w:pPr>
        <w:autoSpaceDE w:val="0"/>
        <w:autoSpaceDN w:val="0"/>
        <w:adjustRightInd w:val="0"/>
        <w:jc w:val="both"/>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pP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 xml:space="preserve">(п. 10 введен Федеральным </w:t>
      </w:r>
      <w:r>
        <w:rPr>
          <w:highlight w:val="none"/>
        </w:rPr>
        <w:fldChar w:fldCharType="begin"/>
      </w:r>
      <w:r>
        <w:rPr>
          <w:highlight w:val="none"/>
        </w:rPr>
        <w:instrText xml:space="preserve"> HYPERLINK "consultantplus://offline/ref=06CB4330168F14AC5CDA6C4776B862C0B1D1B7EAA26C8FF540B83875AA2DB2A0FD9C50F95B08FFF5D63AA994043D3C914EF234C19E4C38DFMF5FI" </w:instrText>
      </w:r>
      <w:r>
        <w:rPr>
          <w:highlight w:val="none"/>
        </w:rPr>
        <w:fldChar w:fldCharType="separate"/>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законом</w:t>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fldChar w:fldCharType="end"/>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 xml:space="preserve"> от 01.05.2019 N 71-ФЗ)</w:t>
      </w:r>
    </w:p>
    <w:p w14:paraId="447AABBC">
      <w:pPr>
        <w:autoSpaceDE w:val="0"/>
        <w:autoSpaceDN w:val="0"/>
        <w:adjustRightInd w:val="0"/>
        <w:spacing w:before="200"/>
        <w:ind w:firstLine="540"/>
        <w:jc w:val="both"/>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pP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 xml:space="preserve">8) если при исполнении контракта, предусмотренного </w:t>
      </w:r>
      <w:r>
        <w:rPr>
          <w:highlight w:val="none"/>
        </w:rPr>
        <w:fldChar w:fldCharType="begin"/>
      </w:r>
      <w:r>
        <w:rPr>
          <w:highlight w:val="none"/>
        </w:rPr>
        <w:instrText xml:space="preserve"> HYPERLINK "consultantplus://offline/ref=06CB4330168F14AC5CDA6C4776B862C0B1D1B6E4A1628FF540B83875AA2DB2A0FD9C50FA590CFAFE8360B9904D69368E49EE2AC1804CM35AI" </w:instrText>
      </w:r>
      <w:r>
        <w:rPr>
          <w:highlight w:val="none"/>
        </w:rPr>
        <w:fldChar w:fldCharType="separate"/>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частью 16</w:t>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fldChar w:fldCharType="end"/>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 xml:space="preserve"> (при условии, что контракт жизненного цикла предусматривает проектирование, строительство, реконструкцию, капитальный ремонт объекта капитального строительства) и </w:t>
      </w:r>
      <w:r>
        <w:rPr>
          <w:highlight w:val="none"/>
        </w:rPr>
        <w:fldChar w:fldCharType="begin"/>
      </w:r>
      <w:r>
        <w:rPr>
          <w:highlight w:val="none"/>
        </w:rPr>
        <w:instrText xml:space="preserve"> HYPERLINK "consultantplus://offline/ref=06CB4330168F14AC5CDA6C4776B862C0B1D1B6E4A1628FF540B83875AA2DB2A0FD9C50F95E00F7A18675A8C8416F2F904BF236C382M45CI" </w:instrText>
      </w:r>
      <w:r>
        <w:rPr>
          <w:highlight w:val="none"/>
        </w:rPr>
        <w:fldChar w:fldCharType="separate"/>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частью 16.1 статьи 34</w:t>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fldChar w:fldCharType="end"/>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 xml:space="preserve"> настоящего Федерального закона, сметная стоимость строительства, реконструкции, капитального ремонта, определенная по результатам проверки на предмет достоверности ее определения в ходе проведения государственной экспертизы проектной документации, превышает цену такого контракта. Предусмотренное настоящим пунктом изменение существенных условий осуществляется с учетом такой сметной стоимости строительства, реконструкции, капитального ремонта объекта капитального строительства на основании решения Правительства Российской Федерации, высшего исполнительного органа государственной власти субъекта Российской Федерации, местной администрации при осуществлении закупки для федеральных нужд, нужд субъекта Российской Федерации, муниципальных нужд соответственно и при условии, что такое изменение существенных условий не приведет к увеличению цены контракта более чем на тридцать процентов;</w:t>
      </w:r>
    </w:p>
    <w:p w14:paraId="0975C03F">
      <w:pPr>
        <w:autoSpaceDE w:val="0"/>
        <w:autoSpaceDN w:val="0"/>
        <w:adjustRightInd w:val="0"/>
        <w:jc w:val="both"/>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pP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 xml:space="preserve">(п. 11 введен Федеральным </w:t>
      </w:r>
      <w:r>
        <w:rPr>
          <w:highlight w:val="none"/>
        </w:rPr>
        <w:fldChar w:fldCharType="begin"/>
      </w:r>
      <w:r>
        <w:rPr>
          <w:highlight w:val="none"/>
        </w:rPr>
        <w:instrText xml:space="preserve"> HYPERLINK "consultantplus://offline/ref=06CB4330168F14AC5CDA6C4776B862C0B1D1B7EFA26D8FF540B83875AA2DB2A0FD9C50F95B09FCF6DF3AA994043D3C914EF234C19E4C38DFMF5FI" </w:instrText>
      </w:r>
      <w:r>
        <w:rPr>
          <w:highlight w:val="none"/>
        </w:rPr>
        <w:fldChar w:fldCharType="separate"/>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законом</w:t>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fldChar w:fldCharType="end"/>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 xml:space="preserve"> от 02.07.2021 N 360-ФЗ)</w:t>
      </w:r>
    </w:p>
    <w:p w14:paraId="477A0447">
      <w:pPr>
        <w:autoSpaceDE w:val="0"/>
        <w:autoSpaceDN w:val="0"/>
        <w:adjustRightInd w:val="0"/>
        <w:spacing w:before="200"/>
        <w:ind w:firstLine="540"/>
        <w:jc w:val="both"/>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pP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9) если при исполнении контракта изменяется срок исполнения отдельного этапа (отдельных этапов) исполнения контракта в рамках срока исполнения контракта, предусмотренного при его заключении;</w:t>
      </w:r>
    </w:p>
    <w:p w14:paraId="324CE7C8">
      <w:pPr>
        <w:autoSpaceDE w:val="0"/>
        <w:autoSpaceDN w:val="0"/>
        <w:adjustRightInd w:val="0"/>
        <w:jc w:val="both"/>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pP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 xml:space="preserve">(п. 12 введен Федеральным </w:t>
      </w:r>
      <w:r>
        <w:rPr>
          <w:highlight w:val="none"/>
        </w:rPr>
        <w:fldChar w:fldCharType="begin"/>
      </w:r>
      <w:r>
        <w:rPr>
          <w:highlight w:val="none"/>
        </w:rPr>
        <w:instrText xml:space="preserve"> HYPERLINK "consultantplus://offline/ref=06CB4330168F14AC5CDA6C4776B862C0B1D1B7EFA26D8FF540B83875AA2DB2A0FD9C50F95B09FCF1D73AA994043D3C914EF234C19E4C38DFMF5FI" </w:instrText>
      </w:r>
      <w:r>
        <w:rPr>
          <w:highlight w:val="none"/>
        </w:rPr>
        <w:fldChar w:fldCharType="separate"/>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законом</w:t>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fldChar w:fldCharType="end"/>
      </w: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 xml:space="preserve"> от 02.07.2021 N 360-ФЗ)</w:t>
      </w:r>
    </w:p>
    <w:p w14:paraId="7A6341F9">
      <w:pPr>
        <w:autoSpaceDE w:val="0"/>
        <w:autoSpaceDN w:val="0"/>
        <w:adjustRightInd w:val="0"/>
        <w:ind w:firstLine="709"/>
        <w:contextualSpacing/>
        <w:jc w:val="both"/>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pPr>
      <w:r>
        <w:rPr>
          <w:rFonts w:ascii="Times New Roman" w:hAnsi="Times New Roman" w:cs="Times New Roman" w:eastAsiaTheme="minorHAnsi"/>
          <w:i/>
          <w:color w:val="000000" w:themeColor="text1"/>
          <w:sz w:val="24"/>
          <w:szCs w:val="24"/>
          <w:highlight w:val="none"/>
          <w:lang w:eastAsia="en-US"/>
          <w14:textFill>
            <w14:solidFill>
              <w14:schemeClr w14:val="tx1"/>
            </w14:solidFill>
          </w14:textFill>
        </w:rPr>
        <w:t>10) если при исполнении заключенного на срок не менее одного года контракта, предметом которого является выполнение научно-исследовательских, опытно-конструкторских или технологических работ, цена которого составляет или превышает предельный размер (предельные размеры) цены, установленный Правительством Российской Федерации, возникли независящие от сторон контракта обстоятельства, влекущие невозможность его исполнения. Предусмотренное настоящим пунктом изменение осуществляется при наличии в письменной форме обоснования такого изменения на основании решения Правительства Российской Федерации, высшего исполнительного органа государственной власти субъекта Российской Федерации, местной администрации при осуществлении закупки для федеральных нужд, нужд субъекта Российской Федерации, муниципальных нужд соответственно и при условии, что такое изменение не приведет к увеличению срока исполнения контракта и (или) цены контракта более чем на тридцать процентов.</w:t>
      </w:r>
    </w:p>
    <w:p w14:paraId="3B8DB9D1">
      <w:pPr>
        <w:autoSpaceDE w:val="0"/>
        <w:autoSpaceDN w:val="0"/>
        <w:adjustRightInd w:val="0"/>
        <w:ind w:firstLine="709"/>
        <w:contextualSpacing/>
        <w:jc w:val="both"/>
        <w:rPr>
          <w:rFonts w:ascii="Times New Roman" w:hAnsi="Times New Roman" w:cs="Times New Roman" w:eastAsiaTheme="minorHAnsi"/>
          <w:color w:val="000000" w:themeColor="text1"/>
          <w:sz w:val="24"/>
          <w:szCs w:val="24"/>
          <w:highlight w:val="none"/>
          <w:lang w:eastAsia="en-US"/>
          <w14:textFill>
            <w14:solidFill>
              <w14:schemeClr w14:val="tx1"/>
            </w14:solidFill>
          </w14:textFill>
        </w:rPr>
      </w:pPr>
      <w:r>
        <w:rPr>
          <w:rFonts w:ascii="Times New Roman" w:hAnsi="Times New Roman" w:cs="Times New Roman" w:eastAsiaTheme="minorHAnsi"/>
          <w:color w:val="000000" w:themeColor="text1"/>
          <w:sz w:val="24"/>
          <w:szCs w:val="24"/>
          <w:highlight w:val="none"/>
          <w:lang w:eastAsia="en-US"/>
          <w14:textFill>
            <w14:solidFill>
              <w14:schemeClr w14:val="tx1"/>
            </w14:solidFill>
          </w14:textFill>
        </w:rPr>
        <w:t>10.2. Подрядчик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14:paraId="57A418F4">
      <w:pPr>
        <w:autoSpaceDE w:val="0"/>
        <w:autoSpaceDN w:val="0"/>
        <w:adjustRightInd w:val="0"/>
        <w:ind w:firstLine="709"/>
        <w:contextualSpacing/>
        <w:jc w:val="both"/>
        <w:rPr>
          <w:rFonts w:ascii="Times New Roman" w:hAnsi="Times New Roman" w:cs="Times New Roman" w:eastAsiaTheme="minorHAnsi"/>
          <w:color w:val="000000" w:themeColor="text1"/>
          <w:sz w:val="24"/>
          <w:szCs w:val="24"/>
          <w:highlight w:val="none"/>
          <w:lang w:eastAsia="en-US"/>
          <w14:textFill>
            <w14:solidFill>
              <w14:schemeClr w14:val="tx1"/>
            </w14:solidFill>
          </w14:textFill>
        </w:rPr>
      </w:pPr>
      <w:r>
        <w:rPr>
          <w:rFonts w:ascii="Times New Roman" w:hAnsi="Times New Roman" w:cs="Times New Roman" w:eastAsiaTheme="minorHAnsi"/>
          <w:color w:val="000000" w:themeColor="text1"/>
          <w:sz w:val="24"/>
          <w:szCs w:val="24"/>
          <w:highlight w:val="none"/>
          <w:lang w:eastAsia="en-US"/>
          <w14:textFill>
            <w14:solidFill>
              <w14:schemeClr w14:val="tx1"/>
            </w14:solidFill>
          </w14:textFill>
        </w:rPr>
        <w:t>Расторжение контракта допускается исключительно:</w:t>
      </w:r>
    </w:p>
    <w:p w14:paraId="4B9C4596">
      <w:pPr>
        <w:autoSpaceDE w:val="0"/>
        <w:autoSpaceDN w:val="0"/>
        <w:adjustRightInd w:val="0"/>
        <w:ind w:firstLine="709"/>
        <w:contextualSpacing/>
        <w:jc w:val="both"/>
        <w:rPr>
          <w:rFonts w:ascii="Times New Roman" w:hAnsi="Times New Roman" w:cs="Times New Roman" w:eastAsiaTheme="minorHAnsi"/>
          <w:color w:val="000000" w:themeColor="text1"/>
          <w:sz w:val="24"/>
          <w:szCs w:val="24"/>
          <w:highlight w:val="none"/>
          <w:lang w:eastAsia="en-US"/>
          <w14:textFill>
            <w14:solidFill>
              <w14:schemeClr w14:val="tx1"/>
            </w14:solidFill>
          </w14:textFill>
        </w:rPr>
      </w:pPr>
      <w:r>
        <w:rPr>
          <w:rFonts w:ascii="Times New Roman" w:hAnsi="Times New Roman" w:cs="Times New Roman" w:eastAsiaTheme="minorHAnsi"/>
          <w:color w:val="000000" w:themeColor="text1"/>
          <w:sz w:val="24"/>
          <w:szCs w:val="24"/>
          <w:highlight w:val="none"/>
          <w:lang w:eastAsia="en-US"/>
          <w14:textFill>
            <w14:solidFill>
              <w14:schemeClr w14:val="tx1"/>
            </w14:solidFill>
          </w14:textFill>
        </w:rPr>
        <w:t>10.2.1 По соглашению Сторон;</w:t>
      </w:r>
    </w:p>
    <w:p w14:paraId="744C3B30">
      <w:pPr>
        <w:autoSpaceDE w:val="0"/>
        <w:autoSpaceDN w:val="0"/>
        <w:adjustRightInd w:val="0"/>
        <w:ind w:firstLine="709"/>
        <w:contextualSpacing/>
        <w:jc w:val="both"/>
        <w:rPr>
          <w:rFonts w:ascii="Times New Roman" w:hAnsi="Times New Roman" w:cs="Times New Roman" w:eastAsiaTheme="minorHAnsi"/>
          <w:color w:val="000000" w:themeColor="text1"/>
          <w:sz w:val="24"/>
          <w:szCs w:val="24"/>
          <w:highlight w:val="none"/>
          <w:lang w:eastAsia="en-US"/>
          <w14:textFill>
            <w14:solidFill>
              <w14:schemeClr w14:val="tx1"/>
            </w14:solidFill>
          </w14:textFill>
        </w:rPr>
      </w:pPr>
      <w:r>
        <w:rPr>
          <w:rFonts w:ascii="Times New Roman" w:hAnsi="Times New Roman" w:cs="Times New Roman" w:eastAsiaTheme="minorHAnsi"/>
          <w:color w:val="000000" w:themeColor="text1"/>
          <w:sz w:val="24"/>
          <w:szCs w:val="24"/>
          <w:highlight w:val="none"/>
          <w:lang w:eastAsia="en-US"/>
          <w14:textFill>
            <w14:solidFill>
              <w14:schemeClr w14:val="tx1"/>
            </w14:solidFill>
          </w14:textFill>
        </w:rPr>
        <w:t>10.2.2 По  решению суда по основаниям предусмотренным Гражданским кодексом;</w:t>
      </w:r>
    </w:p>
    <w:p w14:paraId="6A73DE04">
      <w:pPr>
        <w:autoSpaceDE w:val="0"/>
        <w:autoSpaceDN w:val="0"/>
        <w:adjustRightInd w:val="0"/>
        <w:ind w:firstLine="709"/>
        <w:contextualSpacing/>
        <w:jc w:val="both"/>
        <w:rPr>
          <w:rFonts w:ascii="Times New Roman" w:hAnsi="Times New Roman" w:cs="Times New Roman" w:eastAsiaTheme="minorHAnsi"/>
          <w:color w:val="000000" w:themeColor="text1"/>
          <w:sz w:val="24"/>
          <w:szCs w:val="24"/>
          <w:highlight w:val="none"/>
          <w:lang w:eastAsia="en-US"/>
          <w14:textFill>
            <w14:solidFill>
              <w14:schemeClr w14:val="tx1"/>
            </w14:solidFill>
          </w14:textFill>
        </w:rPr>
      </w:pPr>
      <w:r>
        <w:rPr>
          <w:rFonts w:ascii="Times New Roman" w:hAnsi="Times New Roman" w:cs="Times New Roman" w:eastAsiaTheme="minorHAnsi"/>
          <w:color w:val="000000" w:themeColor="text1"/>
          <w:sz w:val="24"/>
          <w:szCs w:val="24"/>
          <w:highlight w:val="none"/>
          <w:lang w:eastAsia="en-US"/>
          <w14:textFill>
            <w14:solidFill>
              <w14:schemeClr w14:val="tx1"/>
            </w14:solidFill>
          </w14:textFill>
        </w:rPr>
        <w:t>10.2.3 В случае принятия Государственным заказчиком решения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14:paraId="0A237FA3">
      <w:pPr>
        <w:autoSpaceDE w:val="0"/>
        <w:autoSpaceDN w:val="0"/>
        <w:adjustRightInd w:val="0"/>
        <w:ind w:firstLine="709"/>
        <w:contextualSpacing/>
        <w:jc w:val="both"/>
        <w:rPr>
          <w:rFonts w:ascii="Times New Roman" w:hAnsi="Times New Roman" w:cs="Times New Roman" w:eastAsiaTheme="minorHAnsi"/>
          <w:color w:val="000000" w:themeColor="text1"/>
          <w:sz w:val="24"/>
          <w:szCs w:val="24"/>
          <w:highlight w:val="none"/>
          <w:lang w:eastAsia="en-US"/>
          <w14:textFill>
            <w14:solidFill>
              <w14:schemeClr w14:val="tx1"/>
            </w14:solidFill>
          </w14:textFill>
        </w:rPr>
      </w:pPr>
      <w:r>
        <w:rPr>
          <w:rFonts w:ascii="Times New Roman" w:hAnsi="Times New Roman" w:cs="Times New Roman" w:eastAsiaTheme="minorHAnsi"/>
          <w:color w:val="000000" w:themeColor="text1"/>
          <w:sz w:val="24"/>
          <w:szCs w:val="24"/>
          <w:highlight w:val="none"/>
          <w:lang w:eastAsia="en-US"/>
          <w14:textFill>
            <w14:solidFill>
              <w14:schemeClr w14:val="tx1"/>
            </w14:solidFill>
          </w14:textFill>
        </w:rPr>
        <w:t>10.2.4 Государственный заказчик решивший расторгнуть Контракт, размещает Решение об одностороннем отказе от исполнения Контракта в системе ЕИС (единая информационная система).</w:t>
      </w:r>
    </w:p>
    <w:p w14:paraId="132E6F0C">
      <w:pPr>
        <w:autoSpaceDE w:val="0"/>
        <w:autoSpaceDN w:val="0"/>
        <w:adjustRightInd w:val="0"/>
        <w:ind w:firstLine="709"/>
        <w:contextualSpacing/>
        <w:jc w:val="both"/>
        <w:rPr>
          <w:rFonts w:ascii="Times New Roman" w:hAnsi="Times New Roman" w:cs="Times New Roman" w:eastAsiaTheme="minorHAnsi"/>
          <w:color w:val="000000" w:themeColor="text1"/>
          <w:sz w:val="24"/>
          <w:szCs w:val="24"/>
          <w:highlight w:val="none"/>
          <w:lang w:eastAsia="en-US"/>
          <w14:textFill>
            <w14:solidFill>
              <w14:schemeClr w14:val="tx1"/>
            </w14:solidFill>
          </w14:textFill>
        </w:rPr>
      </w:pPr>
      <w:r>
        <w:rPr>
          <w:rFonts w:ascii="Times New Roman" w:hAnsi="Times New Roman" w:cs="Times New Roman" w:eastAsiaTheme="minorHAnsi"/>
          <w:color w:val="000000" w:themeColor="text1"/>
          <w:sz w:val="24"/>
          <w:szCs w:val="24"/>
          <w:highlight w:val="none"/>
          <w:lang w:eastAsia="en-US"/>
          <w14:textFill>
            <w14:solidFill>
              <w14:schemeClr w14:val="tx1"/>
            </w14:solidFill>
          </w14:textFill>
        </w:rPr>
        <w:t xml:space="preserve">10.2.5 Решение Государственного заказчика об одностороннем отказе от исполнения Контракта вступает и Контракт считается расторгнутым через 10 (десять) дней с даты надлежащего </w:t>
      </w:r>
      <w:bookmarkStart w:id="13" w:name="_Hlk188889922"/>
      <w:r>
        <w:rPr>
          <w:rFonts w:ascii="Times New Roman" w:hAnsi="Times New Roman" w:cs="Times New Roman" w:eastAsiaTheme="minorHAnsi"/>
          <w:color w:val="000000" w:themeColor="text1"/>
          <w:sz w:val="24"/>
          <w:szCs w:val="24"/>
          <w:highlight w:val="none"/>
          <w:lang w:eastAsia="en-US"/>
          <w14:textFill>
            <w14:solidFill>
              <w14:schemeClr w14:val="tx1"/>
            </w14:solidFill>
          </w14:textFill>
        </w:rPr>
        <w:t>уведомления Государственным заказчикам Подрядчика об одностороннем отказе от исполнения Контракта</w:t>
      </w:r>
      <w:bookmarkEnd w:id="13"/>
      <w:r>
        <w:rPr>
          <w:rFonts w:ascii="Times New Roman" w:hAnsi="Times New Roman" w:cs="Times New Roman" w:eastAsiaTheme="minorHAnsi"/>
          <w:color w:val="000000" w:themeColor="text1"/>
          <w:sz w:val="24"/>
          <w:szCs w:val="24"/>
          <w:highlight w:val="none"/>
          <w:lang w:eastAsia="en-US"/>
          <w14:textFill>
            <w14:solidFill>
              <w14:schemeClr w14:val="tx1"/>
            </w14:solidFill>
          </w14:textFill>
        </w:rPr>
        <w:t>. Дата надлежащего  уведомления Государственным заказчикам Подрядчика об одностороннем отказе от исполнения Контракта определяется в соответствии с положением Федерального Закона от 05.04.2013 №44 -ФЗ «О контрактной системе в сфере закупок товаров, работ, услуг для обеспечения государственных и муниципальных нужд».</w:t>
      </w:r>
    </w:p>
    <w:p w14:paraId="634DE1AE">
      <w:pPr>
        <w:autoSpaceDE w:val="0"/>
        <w:autoSpaceDN w:val="0"/>
        <w:adjustRightInd w:val="0"/>
        <w:ind w:firstLine="709"/>
        <w:contextualSpacing/>
        <w:jc w:val="both"/>
        <w:rPr>
          <w:rFonts w:ascii="Times New Roman" w:hAnsi="Times New Roman" w:cs="Times New Roman" w:eastAsiaTheme="minorHAnsi"/>
          <w:color w:val="000000" w:themeColor="text1"/>
          <w:sz w:val="24"/>
          <w:szCs w:val="24"/>
          <w:highlight w:val="none"/>
          <w:lang w:eastAsia="en-US"/>
          <w14:textFill>
            <w14:solidFill>
              <w14:schemeClr w14:val="tx1"/>
            </w14:solidFill>
          </w14:textFill>
        </w:rPr>
      </w:pPr>
      <w:r>
        <w:rPr>
          <w:rFonts w:ascii="Times New Roman" w:hAnsi="Times New Roman" w:cs="Times New Roman" w:eastAsiaTheme="minorHAnsi"/>
          <w:color w:val="000000" w:themeColor="text1"/>
          <w:sz w:val="24"/>
          <w:szCs w:val="24"/>
          <w:highlight w:val="none"/>
          <w:lang w:eastAsia="en-US"/>
          <w14:textFill>
            <w14:solidFill>
              <w14:schemeClr w14:val="tx1"/>
            </w14:solidFill>
          </w14:textFill>
        </w:rPr>
        <w:t>10.2.6 При расторжении Контракта до завершения работ Подрядчик возвращает Государственному заказчику в течении 30 (тридцати) дней с момента предъявления соответствующего требования неиспользованные для производства работ финансовые средства, в том числе авансовые платежи, и незавершенный строительством Объект и представляет Государственному заказчику отчет о произведенных расходах в процессе исполнения обязательств по Контракту, а также освобождает строительную площадку и передает Заказчику Проектную, Рабочую и исполнительную документацию.</w:t>
      </w:r>
    </w:p>
    <w:p w14:paraId="158FCC3B">
      <w:pPr>
        <w:autoSpaceDE w:val="0"/>
        <w:autoSpaceDN w:val="0"/>
        <w:adjustRightInd w:val="0"/>
        <w:ind w:firstLine="709"/>
        <w:contextualSpacing/>
        <w:jc w:val="both"/>
        <w:rPr>
          <w:rFonts w:ascii="Times New Roman" w:hAnsi="Times New Roman" w:cs="Times New Roman" w:eastAsiaTheme="minorHAnsi"/>
          <w:color w:val="000000" w:themeColor="text1"/>
          <w:sz w:val="24"/>
          <w:szCs w:val="24"/>
          <w:highlight w:val="none"/>
          <w:lang w:eastAsia="en-US"/>
          <w14:textFill>
            <w14:solidFill>
              <w14:schemeClr w14:val="tx1"/>
            </w14:solidFill>
          </w14:textFill>
        </w:rPr>
      </w:pPr>
      <w:r>
        <w:rPr>
          <w:rFonts w:ascii="Times New Roman" w:hAnsi="Times New Roman" w:cs="Times New Roman" w:eastAsiaTheme="minorHAnsi"/>
          <w:color w:val="000000" w:themeColor="text1"/>
          <w:sz w:val="24"/>
          <w:szCs w:val="24"/>
          <w:highlight w:val="none"/>
          <w:lang w:eastAsia="en-US"/>
          <w14:textFill>
            <w14:solidFill>
              <w14:schemeClr w14:val="tx1"/>
            </w14:solidFill>
          </w14:textFill>
        </w:rPr>
        <w:t xml:space="preserve">10.2.7 Расторжение Контракта влечет за собой прекращение обязательств Сторон по нему, но не освобождает от ответственности за неисполнение договорных обязательств , которые имели место до расторжения Контракта.    </w:t>
      </w:r>
    </w:p>
    <w:p w14:paraId="7F005254">
      <w:pPr>
        <w:autoSpaceDE w:val="0"/>
        <w:autoSpaceDN w:val="0"/>
        <w:adjustRightInd w:val="0"/>
        <w:ind w:firstLine="709"/>
        <w:contextualSpacing/>
        <w:jc w:val="both"/>
        <w:rPr>
          <w:rFonts w:ascii="Times New Roman" w:hAnsi="Times New Roman" w:cs="Times New Roman" w:eastAsiaTheme="minorHAnsi"/>
          <w:color w:val="000000" w:themeColor="text1"/>
          <w:sz w:val="24"/>
          <w:szCs w:val="24"/>
          <w:highlight w:val="none"/>
          <w:lang w:eastAsia="en-US"/>
          <w14:textFill>
            <w14:solidFill>
              <w14:schemeClr w14:val="tx1"/>
            </w14:solidFill>
          </w14:textFill>
        </w:rPr>
      </w:pPr>
      <w:r>
        <w:rPr>
          <w:rFonts w:ascii="Times New Roman" w:hAnsi="Times New Roman" w:cs="Times New Roman" w:eastAsiaTheme="minorHAnsi"/>
          <w:color w:val="000000" w:themeColor="text1"/>
          <w:sz w:val="24"/>
          <w:szCs w:val="24"/>
          <w:highlight w:val="none"/>
          <w:lang w:eastAsia="en-US"/>
          <w14:textFill>
            <w14:solidFill>
              <w14:schemeClr w14:val="tx1"/>
            </w14:solidFill>
          </w14:textFill>
        </w:rPr>
        <w:t>10.3.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а в случаях, предусмотренных законодательством Российской Федерации о контрактной системе в сфере закупок, - обязан принять решение об одностороннем отказе от исполнения контракта.</w:t>
      </w:r>
    </w:p>
    <w:p w14:paraId="5E3A0C5C">
      <w:pPr>
        <w:autoSpaceDE w:val="0"/>
        <w:autoSpaceDN w:val="0"/>
        <w:adjustRightInd w:val="0"/>
        <w:ind w:firstLine="709"/>
        <w:contextualSpacing/>
        <w:jc w:val="both"/>
        <w:rPr>
          <w:rFonts w:ascii="Times New Roman" w:hAnsi="Times New Roman" w:cs="Times New Roman" w:eastAsiaTheme="minorHAnsi"/>
          <w:color w:val="000000" w:themeColor="text1"/>
          <w:sz w:val="24"/>
          <w:szCs w:val="24"/>
          <w:highlight w:val="none"/>
          <w:lang w:eastAsia="en-US"/>
          <w14:textFill>
            <w14:solidFill>
              <w14:schemeClr w14:val="tx1"/>
            </w14:solidFill>
          </w14:textFill>
        </w:rPr>
      </w:pPr>
      <w:r>
        <w:rPr>
          <w:rFonts w:ascii="Times New Roman" w:hAnsi="Times New Roman" w:cs="Times New Roman" w:eastAsiaTheme="minorHAnsi"/>
          <w:color w:val="000000" w:themeColor="text1"/>
          <w:sz w:val="24"/>
          <w:szCs w:val="24"/>
          <w:highlight w:val="none"/>
          <w:lang w:eastAsia="en-US"/>
          <w14:textFill>
            <w14:solidFill>
              <w14:schemeClr w14:val="tx1"/>
            </w14:solidFill>
          </w14:textFill>
        </w:rPr>
        <w:t>10.4. В случае принятия одной из сторон контракта решения об одностороннем отказе от исполнения контракта расторжение контракта после принятия такого решения осуществляется в порядке, установленном законодательством Российской Федерации о контрактной системе в сфере закупок.</w:t>
      </w:r>
    </w:p>
    <w:p w14:paraId="102CD921">
      <w:pPr>
        <w:autoSpaceDE w:val="0"/>
        <w:autoSpaceDN w:val="0"/>
        <w:adjustRightInd w:val="0"/>
        <w:ind w:firstLine="709"/>
        <w:contextualSpacing/>
        <w:jc w:val="both"/>
        <w:rPr>
          <w:rFonts w:ascii="Times New Roman" w:hAnsi="Times New Roman" w:cs="Times New Roman" w:eastAsiaTheme="minorHAnsi"/>
          <w:color w:val="000000" w:themeColor="text1"/>
          <w:sz w:val="24"/>
          <w:szCs w:val="24"/>
          <w:highlight w:val="none"/>
          <w:lang w:eastAsia="en-US"/>
          <w14:textFill>
            <w14:solidFill>
              <w14:schemeClr w14:val="tx1"/>
            </w14:solidFill>
          </w14:textFill>
        </w:rPr>
      </w:pPr>
      <w:r>
        <w:rPr>
          <w:rFonts w:ascii="Times New Roman" w:hAnsi="Times New Roman" w:cs="Times New Roman" w:eastAsiaTheme="minorHAnsi"/>
          <w:color w:val="000000" w:themeColor="text1"/>
          <w:sz w:val="24"/>
          <w:szCs w:val="24"/>
          <w:highlight w:val="none"/>
          <w:lang w:eastAsia="en-US"/>
          <w14:textFill>
            <w14:solidFill>
              <w14:schemeClr w14:val="tx1"/>
            </w14:solidFill>
          </w14:textFill>
        </w:rPr>
        <w:t>10.5. Если одной из сторон контракта по основаниям, которые предусмотрены законодательством Российской Федерации о контрактной системе в сфере закупок, предлагается изменить существенные условия контракта, такая сторона контракта вправе направить в письменной форме другой стороне контракта предложение об изменении существенных условий контракта с приложением информации и документов, обосновывающих такое предложение, а также проект соглашения об изменении условий контракта, подписанный лицом, имеющим право действовать от имени стороны контракта.</w:t>
      </w:r>
    </w:p>
    <w:p w14:paraId="4B810237">
      <w:pPr>
        <w:autoSpaceDE w:val="0"/>
        <w:autoSpaceDN w:val="0"/>
        <w:adjustRightInd w:val="0"/>
        <w:ind w:firstLine="709"/>
        <w:contextualSpacing/>
        <w:jc w:val="both"/>
        <w:rPr>
          <w:rFonts w:ascii="Times New Roman" w:hAnsi="Times New Roman" w:cs="Times New Roman" w:eastAsiaTheme="minorHAnsi"/>
          <w:color w:val="000000" w:themeColor="text1"/>
          <w:sz w:val="24"/>
          <w:szCs w:val="24"/>
          <w:highlight w:val="none"/>
          <w:lang w:eastAsia="en-US"/>
          <w14:textFill>
            <w14:solidFill>
              <w14:schemeClr w14:val="tx1"/>
            </w14:solidFill>
          </w14:textFill>
        </w:rPr>
      </w:pPr>
      <w:r>
        <w:rPr>
          <w:rFonts w:ascii="Times New Roman" w:hAnsi="Times New Roman" w:cs="Times New Roman" w:eastAsiaTheme="minorHAnsi"/>
          <w:color w:val="000000" w:themeColor="text1"/>
          <w:sz w:val="24"/>
          <w:szCs w:val="24"/>
          <w:highlight w:val="none"/>
          <w:lang w:eastAsia="en-US"/>
          <w14:textFill>
            <w14:solidFill>
              <w14:schemeClr w14:val="tx1"/>
            </w14:solidFill>
          </w14:textFill>
        </w:rPr>
        <w:t>10.6. Сторона контракта, получившая предложение об изменении существенных условий контракта, в течение 10 рабочих дней со дня, следующего за днем получения предложения об изменении существенных условий контракта, по результатам рассмотрения такого предложения в порядке, установленном законодательством Российской Федерации о контрактной системе в сфере закупок, контрактом, направляет другой стороне контракта подписанное соглашение об изменении условий контракта либо в письменной форме отказ об изменении существенных условий контракта с обоснованием такого отказа.</w:t>
      </w:r>
    </w:p>
    <w:p w14:paraId="20B58ACD">
      <w:pPr>
        <w:widowControl w:val="0"/>
        <w:jc w:val="center"/>
        <w:rPr>
          <w:rFonts w:ascii="Times New Roman" w:hAnsi="Times New Roman" w:eastAsia="PT Astra Serif" w:cs="Times New Roman"/>
          <w:color w:val="000000" w:themeColor="text1"/>
          <w:sz w:val="24"/>
          <w:szCs w:val="24"/>
          <w:highlight w:val="none"/>
          <w14:textFill>
            <w14:solidFill>
              <w14:schemeClr w14:val="tx1"/>
            </w14:solidFill>
          </w14:textFill>
        </w:rPr>
      </w:pPr>
    </w:p>
    <w:p w14:paraId="38394370">
      <w:pPr>
        <w:widowControl w:val="0"/>
        <w:jc w:val="center"/>
        <w:rPr>
          <w:rFonts w:ascii="Times New Roman" w:hAnsi="Times New Roman" w:eastAsia="PT Astra Serif" w:cs="Times New Roman"/>
          <w:b/>
          <w:color w:val="000000" w:themeColor="text1"/>
          <w:sz w:val="24"/>
          <w:szCs w:val="24"/>
          <w:highlight w:val="none"/>
          <w14:textFill>
            <w14:solidFill>
              <w14:schemeClr w14:val="tx1"/>
            </w14:solidFill>
          </w14:textFill>
        </w:rPr>
      </w:pPr>
      <w:r>
        <w:rPr>
          <w:rFonts w:ascii="Times New Roman" w:hAnsi="Times New Roman" w:eastAsia="PT Astra Serif" w:cs="Times New Roman"/>
          <w:b/>
          <w:color w:val="000000" w:themeColor="text1"/>
          <w:sz w:val="24"/>
          <w:szCs w:val="24"/>
          <w:highlight w:val="none"/>
          <w14:textFill>
            <w14:solidFill>
              <w14:schemeClr w14:val="tx1"/>
            </w14:solidFill>
          </w14:textFill>
        </w:rPr>
        <w:t>11. Порядок разрешения споров.</w:t>
      </w:r>
    </w:p>
    <w:p w14:paraId="4A3E74FA">
      <w:pPr>
        <w:widowControl w:val="0"/>
        <w:ind w:firstLine="541"/>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11.1. Заказчик и Подрядчик должны приложить все усилия, чтобы путем прямых переговоров разрешить к обоюдному удовлетворению сторон все противоречия или спорные вопросы, возникающие между ними в рамках Контракта.</w:t>
      </w:r>
    </w:p>
    <w:p w14:paraId="29B6BC9D">
      <w:pPr>
        <w:widowControl w:val="0"/>
        <w:ind w:firstLine="541"/>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Претензии Сторон, возникающие в связи с исполнением Контракта, включая споры и разногласия по техническим и финансовым вопросам (условиям), рассматриваются Сторонами путем переговоров с оформлением протокола технического совещания.</w:t>
      </w:r>
    </w:p>
    <w:p w14:paraId="47A2CC22">
      <w:pPr>
        <w:widowControl w:val="0"/>
        <w:ind w:firstLine="541"/>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При возникновении любых противоречий, претензий и разногласий, а также споров, связанных с исполнением контракта (далее - разногласия), стороны предпринимают усилия для урегулирования разногласий путем переговоров и оформляют результаты таких переговоров с учетом положений контракта.</w:t>
      </w:r>
    </w:p>
    <w:p w14:paraId="5C0E3B8A">
      <w:pPr>
        <w:widowControl w:val="0"/>
        <w:ind w:firstLine="541"/>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11.2. В случае наличия разногласий относительно исполнения одной из сторон своих обязательств, другая сторона может направить претензию. В отношении всех претензий, направляемых по настоящему Контракту, сторона, которой адресована данная претензия, должна дать письменный ответ по существу претензии в срок не позднее 10 (десяти) календарных дней с даты, ее получения.</w:t>
      </w:r>
    </w:p>
    <w:p w14:paraId="496D9343">
      <w:pPr>
        <w:widowControl w:val="0"/>
        <w:ind w:firstLine="541"/>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Все неурегулированные разногласия разрешаются сторонами в судебном порядке.</w:t>
      </w:r>
    </w:p>
    <w:p w14:paraId="1AC0C1C6">
      <w:pPr>
        <w:widowControl w:val="0"/>
        <w:ind w:firstLine="541"/>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11.3. Любые споры, разногласия и требования, возникающие из Контракта, подлежат разрешению в Арбитражном суде Республики Дагестан.</w:t>
      </w:r>
    </w:p>
    <w:p w14:paraId="4FEBD503">
      <w:pPr>
        <w:widowControl w:val="0"/>
        <w:jc w:val="both"/>
        <w:rPr>
          <w:rFonts w:ascii="Times New Roman" w:hAnsi="Times New Roman" w:eastAsia="PT Astra Serif" w:cs="Times New Roman"/>
          <w:color w:val="000000" w:themeColor="text1"/>
          <w:sz w:val="24"/>
          <w:szCs w:val="24"/>
          <w:highlight w:val="none"/>
          <w14:textFill>
            <w14:solidFill>
              <w14:schemeClr w14:val="tx1"/>
            </w14:solidFill>
          </w14:textFill>
        </w:rPr>
      </w:pPr>
    </w:p>
    <w:p w14:paraId="6BBE28BF">
      <w:pPr>
        <w:widowControl w:val="0"/>
        <w:ind w:firstLine="567"/>
        <w:jc w:val="center"/>
        <w:rPr>
          <w:rFonts w:ascii="Times New Roman" w:hAnsi="Times New Roman" w:eastAsia="PT Astra Serif" w:cs="Times New Roman"/>
          <w:b/>
          <w:color w:val="000000" w:themeColor="text1"/>
          <w:sz w:val="24"/>
          <w:szCs w:val="24"/>
          <w:highlight w:val="none"/>
          <w14:textFill>
            <w14:solidFill>
              <w14:schemeClr w14:val="tx1"/>
            </w14:solidFill>
          </w14:textFill>
        </w:rPr>
      </w:pPr>
      <w:r>
        <w:rPr>
          <w:rFonts w:ascii="Times New Roman" w:hAnsi="Times New Roman" w:eastAsia="PT Astra Serif" w:cs="Times New Roman"/>
          <w:b/>
          <w:color w:val="000000" w:themeColor="text1"/>
          <w:sz w:val="24"/>
          <w:szCs w:val="24"/>
          <w:highlight w:val="none"/>
          <w14:textFill>
            <w14:solidFill>
              <w14:schemeClr w14:val="tx1"/>
            </w14:solidFill>
          </w14:textFill>
        </w:rPr>
        <w:t>12 Срок действия Контракта.</w:t>
      </w:r>
    </w:p>
    <w:p w14:paraId="52F7B81E">
      <w:pPr>
        <w:widowControl w:val="0"/>
        <w:ind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 xml:space="preserve">12.1. Работы по контракту выполняются непрерывно. Заказчик и подрядчик, за исключением случаев, установленных законодательством Российской Федерации, контрактом, не вправе приостанавливать выполнение работ. </w:t>
      </w:r>
    </w:p>
    <w:p w14:paraId="48DD8A4D">
      <w:pPr>
        <w:widowControl w:val="0"/>
        <w:ind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Контракт, вступает в силу со дня подписания его Сторонами и действует до исполнения всех обязательств по Контракту, но не позднее «31» декабря 2027 года.</w:t>
      </w:r>
    </w:p>
    <w:p w14:paraId="3919A209">
      <w:pPr>
        <w:widowControl w:val="0"/>
        <w:ind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12.2 В случае, если Сторонами не исполнены свои обязательства по Контракту до окончания срока, установленного п. 3.2 Контракта, то Контракт продолжает действовать до полного исполнения Сторонами своих обязательств по Контракту, в том числе гарантийных обязательств Подрядчика, если иное не предусмотрено дополнительным соглашением к Контракту.</w:t>
      </w:r>
    </w:p>
    <w:p w14:paraId="1212C58E">
      <w:pPr>
        <w:widowControl w:val="0"/>
        <w:ind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p>
    <w:p w14:paraId="06945AE1">
      <w:pPr>
        <w:widowControl w:val="0"/>
        <w:ind w:left="-15" w:firstLine="567"/>
        <w:jc w:val="center"/>
        <w:rPr>
          <w:rFonts w:ascii="Times New Roman" w:hAnsi="Times New Roman" w:eastAsia="PT Astra Serif" w:cs="Times New Roman"/>
          <w:b/>
          <w:color w:val="000000" w:themeColor="text1"/>
          <w:sz w:val="24"/>
          <w:szCs w:val="24"/>
          <w:highlight w:val="none"/>
          <w14:textFill>
            <w14:solidFill>
              <w14:schemeClr w14:val="tx1"/>
            </w14:solidFill>
          </w14:textFill>
        </w:rPr>
      </w:pPr>
      <w:r>
        <w:rPr>
          <w:rFonts w:ascii="Times New Roman" w:hAnsi="Times New Roman" w:eastAsia="PT Astra Serif" w:cs="Times New Roman"/>
          <w:b/>
          <w:color w:val="000000" w:themeColor="text1"/>
          <w:sz w:val="24"/>
          <w:szCs w:val="24"/>
          <w:highlight w:val="none"/>
          <w14:textFill>
            <w14:solidFill>
              <w14:schemeClr w14:val="tx1"/>
            </w14:solidFill>
          </w14:textFill>
        </w:rPr>
        <w:t>13. Прочие условия.</w:t>
      </w:r>
    </w:p>
    <w:p w14:paraId="2E43FB0D">
      <w:pPr>
        <w:widowControl w:val="0"/>
        <w:ind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 xml:space="preserve">13.1. Контракт заключен в форме электронного документа, подписанного усиленными электронными подписями Сторон, в порядке, предусмотренном Федеральным законом от 05.04.2013 № 44-ФЗ. По обоюдному согласию Стороны также вправе дополнительно оформить настоящий Контракт в письменном виде в 2 (двух) экземплярах, по одному для каждой из Сторон. </w:t>
      </w:r>
    </w:p>
    <w:p w14:paraId="10F0D5E8">
      <w:pPr>
        <w:ind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 xml:space="preserve">В случае, если в рамках исполнения контракта, предметом которого является выполнение работ по строительству (реконструкции) объекта капитального строительства, предусматривается поставка товаров, в отношении которых Правительством Российской Федерации в соответствии со </w:t>
      </w:r>
      <w:r>
        <w:rPr>
          <w:highlight w:val="none"/>
        </w:rPr>
        <w:fldChar w:fldCharType="begin"/>
      </w:r>
      <w:r>
        <w:rPr>
          <w:highlight w:val="none"/>
        </w:rPr>
        <w:instrText xml:space="preserve"> HYPERLINK "https://login.consultant.ru/link/?rnd=F768AC6E9B3970F11B8ED2B80D5DF585&amp;req=doc&amp;base=LAW&amp;n=346602&amp;dst=100116&amp;fld=134&amp;REFFIELD=134&amp;REFDST=100070&amp;REFDOC=346324&amp;REFBASE=LAW&amp;stat=refcode%3D16876%3Bdstident%3D100116%3Bindex%3D112&amp;date=23.03.2020" \h </w:instrText>
      </w:r>
      <w:r>
        <w:rPr>
          <w:highlight w:val="none"/>
        </w:rPr>
        <w:fldChar w:fldCharType="separate"/>
      </w:r>
      <w:r>
        <w:rPr>
          <w:rFonts w:ascii="Times New Roman" w:hAnsi="Times New Roman" w:eastAsia="PT Astra Serif" w:cs="Times New Roman"/>
          <w:color w:val="000000" w:themeColor="text1"/>
          <w:sz w:val="24"/>
          <w:szCs w:val="24"/>
          <w:highlight w:val="none"/>
          <w:u w:val="single"/>
          <w14:textFill>
            <w14:solidFill>
              <w14:schemeClr w14:val="tx1"/>
            </w14:solidFill>
          </w14:textFill>
        </w:rPr>
        <w:t>статьей 14</w:t>
      </w:r>
      <w:r>
        <w:rPr>
          <w:rFonts w:ascii="Times New Roman" w:hAnsi="Times New Roman" w:eastAsia="PT Astra Serif" w:cs="Times New Roman"/>
          <w:color w:val="000000" w:themeColor="text1"/>
          <w:sz w:val="24"/>
          <w:szCs w:val="24"/>
          <w:highlight w:val="none"/>
          <w:u w:val="single"/>
          <w14:textFill>
            <w14:solidFill>
              <w14:schemeClr w14:val="tx1"/>
            </w14:solidFill>
          </w14:textFill>
        </w:rPr>
        <w:fldChar w:fldCharType="end"/>
      </w:r>
      <w:r>
        <w:rPr>
          <w:rFonts w:ascii="Times New Roman" w:hAnsi="Times New Roman" w:eastAsia="PT Astra Serif" w:cs="Times New Roman"/>
          <w:color w:val="000000" w:themeColor="text1"/>
          <w:sz w:val="24"/>
          <w:szCs w:val="24"/>
          <w:highlight w:val="none"/>
          <w14:textFill>
            <w14:solidFill>
              <w14:schemeClr w14:val="tx1"/>
            </w14:solidFill>
          </w14:textFill>
        </w:rPr>
        <w:t xml:space="preserve"> Федерального закона о контрактной системе установлены запрет на допуск товаров, происходящих из иностранных государств, и ограничения допуска указанных товаров, такой контракт должен содержать отдельный перечень таких товаров.</w:t>
      </w:r>
    </w:p>
    <w:p w14:paraId="4C7CE1A7">
      <w:pPr>
        <w:widowControl w:val="0"/>
        <w:ind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13.2. Любые изменения и дополнения к настоящему контракту, не противоречащие законодательству Российской Федерации, оформляются дополнительными соглашениями сторон в письменной форме.</w:t>
      </w:r>
    </w:p>
    <w:p w14:paraId="5DA05296">
      <w:pPr>
        <w:widowControl w:val="0"/>
        <w:ind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13.3. При исполнении своих обязательств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Стороны, их аффилированные лица, работники или посредники не осуществляют действия, квалифицируемые применимым для целей Контракта законодательством как дача или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1B25FB90">
      <w:pPr>
        <w:widowControl w:val="0"/>
        <w:ind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При исполнении своих обязательств по контракту стороны должны действовать добросовестно и разумно. При исполнении контракта ни одна из сторон не вправе извлекать преимущество из своего незаконного или недобросовестного поведения.</w:t>
      </w:r>
    </w:p>
    <w:p w14:paraId="70A6A01C">
      <w:pPr>
        <w:widowControl w:val="0"/>
        <w:ind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 xml:space="preserve">13.4. В случае возникновения у Сторон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основания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Контракту до получения подтверждения, что нарушение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14:paraId="7E33C28B">
      <w:pPr>
        <w:widowControl w:val="0"/>
        <w:ind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13.5. Все уведомления и сообщения должны направляться в письменной форме. Сообщения будут считаться исполненными надлежащим образом, если они посланы посредством факсимильной/электронной связи, заказным почтовым отправлением по местонахождению сторон или доставлены лично по юридическим (почтовым) адресам сторон с получением под расписку соответствующими должностными лицами. В письме необходимо указать, что оно является неотъемлемой частью настоящего контракта.</w:t>
      </w:r>
    </w:p>
    <w:p w14:paraId="4F17F70D">
      <w:pPr>
        <w:widowControl w:val="0"/>
        <w:ind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Уведомления (в том числе обращения, сообщения, предложения, требования) сторон, связанные с исполнением, изменением, расторжением контракта, за исключением случаев, предусмотренных законодательством Российской Федерации о контрактной системе в сфере закупок, контрактом, передаются лицу, имеющему право действовать от имени стороны контракта, лично под расписку или направляются стороне контракта по почте заказным письмом с уведомлением о вручении по адресу стороны контракта, указанному в контракте.</w:t>
      </w:r>
    </w:p>
    <w:p w14:paraId="7D3B57ED">
      <w:pPr>
        <w:widowControl w:val="0"/>
        <w:ind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Датой получения уведомления, указанного в абзаце первом настоящего пункта, считается:</w:t>
      </w:r>
    </w:p>
    <w:p w14:paraId="0E6BBA8C">
      <w:pPr>
        <w:widowControl w:val="0"/>
        <w:ind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-дата, указанная лицом, имеющим право действовать от имени стороны контракта, в расписке о получении уведомления (в случае передачи такого уведомления лицу, имеющему право действовать от имени стороны контракта, лично под расписку);</w:t>
      </w:r>
    </w:p>
    <w:p w14:paraId="6B1A2AA5">
      <w:pPr>
        <w:widowControl w:val="0"/>
        <w:ind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-дата получения стороной контракта, направившей уведомление, подтверждения о вручении стороне контракта, в адрес которой направлено уведомление, заказного письма либо дата получения стороной контракта, направившей уведомление, информации об отсутствии стороны контракта, в адрес которой направлено уведомление, по адресу, указанному в контракте, информации о возврате такого письма по истечении срока хранения (в случае направления уведомления заказным письмом).</w:t>
      </w:r>
    </w:p>
    <w:p w14:paraId="622238AD">
      <w:pPr>
        <w:widowControl w:val="0"/>
        <w:ind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Обмен документами при применении мер ответственности и совершении иных действий в связи с нарушением подрядчиком или заказчиком условий контракта осуществляется в порядке, который предусмотрен контрактом, за исключением случаев, при которых законодательством Российской Федерации о контрактной системе в сфере закупок установлен иной порядок обмена такими документами.</w:t>
      </w:r>
    </w:p>
    <w:p w14:paraId="7CB3823C">
      <w:pPr>
        <w:widowControl w:val="0"/>
        <w:ind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13.6. В случае изменения адресов, других реквизитов, номеров телефонов, стороны письменно извещают друг друга о таком изменении в течение 3 (трех) рабочих дней со дня их изменения. При отсутствии таких сообщений письменные уведомления и требования, направленные Сторонами друг другу, определяются по адресам, указанным в разделе 14 настоящего контракта и считаются доставленными, даже если адресат по адресу больше не находится.</w:t>
      </w:r>
    </w:p>
    <w:p w14:paraId="078645A5">
      <w:pPr>
        <w:widowControl w:val="0"/>
        <w:ind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 xml:space="preserve">13.7. Все приложения к Контракту являются его неотъемной частью. </w:t>
      </w:r>
    </w:p>
    <w:p w14:paraId="78B619B2">
      <w:pPr>
        <w:widowControl w:val="0"/>
        <w:ind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 xml:space="preserve">13.8. К Контракту прилагаются: </w:t>
      </w:r>
    </w:p>
    <w:p w14:paraId="498B8868">
      <w:pPr>
        <w:widowControl w:val="0"/>
        <w:ind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Приложение №1 – График выполнения работ;</w:t>
      </w:r>
    </w:p>
    <w:p w14:paraId="536F7130">
      <w:pPr>
        <w:widowControl w:val="0"/>
        <w:ind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 xml:space="preserve">Приложение №2 – График оплаты выполненных работ; </w:t>
      </w:r>
    </w:p>
    <w:p w14:paraId="149173ED">
      <w:pPr>
        <w:widowControl w:val="0"/>
        <w:ind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 xml:space="preserve">Приложение №3 - Перечень видов и объемов работ, которые подрядчик обязан выполнить самостоятельно без привлечения других лиц к исполнению своих обязательств по строительству объекта; </w:t>
      </w:r>
    </w:p>
    <w:p w14:paraId="2FD6A4DA">
      <w:pPr>
        <w:widowControl w:val="0"/>
        <w:ind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Приложение №4 –Смета контракта (проект)</w:t>
      </w:r>
    </w:p>
    <w:p w14:paraId="54029D79">
      <w:pPr>
        <w:widowControl w:val="0"/>
        <w:ind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r>
        <w:rPr>
          <w:rFonts w:ascii="Times New Roman" w:hAnsi="Times New Roman" w:eastAsia="PT Astra Serif" w:cs="Times New Roman"/>
          <w:color w:val="000000" w:themeColor="text1"/>
          <w:sz w:val="24"/>
          <w:szCs w:val="24"/>
          <w:highlight w:val="none"/>
          <w14:textFill>
            <w14:solidFill>
              <w14:schemeClr w14:val="tx1"/>
            </w14:solidFill>
          </w14:textFill>
        </w:rPr>
        <w:t xml:space="preserve">13.9. В случае изменения наименования, адреса места нахождения или банковских реквизитов Стороны, она письменно извещает об этом другую Сторону в течение 1 (Одного) рабочего дня с даты такого изменения. </w:t>
      </w:r>
    </w:p>
    <w:p w14:paraId="2D3B08D8">
      <w:pPr>
        <w:widowControl w:val="0"/>
        <w:ind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p>
    <w:p w14:paraId="663E987B">
      <w:pPr>
        <w:widowControl w:val="0"/>
        <w:ind w:left="-15" w:firstLine="567"/>
        <w:jc w:val="center"/>
        <w:rPr>
          <w:rFonts w:ascii="Times New Roman" w:hAnsi="Times New Roman" w:eastAsia="PT Astra Serif" w:cs="Times New Roman"/>
          <w:b/>
          <w:color w:val="000000" w:themeColor="text1"/>
          <w:sz w:val="24"/>
          <w:szCs w:val="24"/>
          <w:highlight w:val="none"/>
          <w14:textFill>
            <w14:solidFill>
              <w14:schemeClr w14:val="tx1"/>
            </w14:solidFill>
          </w14:textFill>
        </w:rPr>
      </w:pPr>
      <w:r>
        <w:rPr>
          <w:rFonts w:ascii="Times New Roman" w:hAnsi="Times New Roman" w:eastAsia="PT Astra Serif" w:cs="Times New Roman"/>
          <w:b/>
          <w:color w:val="000000" w:themeColor="text1"/>
          <w:sz w:val="24"/>
          <w:szCs w:val="24"/>
          <w:highlight w:val="none"/>
          <w14:textFill>
            <w14:solidFill>
              <w14:schemeClr w14:val="tx1"/>
            </w14:solidFill>
          </w14:textFill>
        </w:rPr>
        <w:t>14. Адреса места нахождения, банковские реквизиты и подписи сторон</w:t>
      </w:r>
    </w:p>
    <w:tbl>
      <w:tblPr>
        <w:tblStyle w:val="9"/>
        <w:tblpPr w:leftFromText="180" w:rightFromText="180" w:vertAnchor="text" w:horzAnchor="page" w:tblpX="1281" w:tblpY="355"/>
        <w:tblOverlap w:val="never"/>
        <w:tblW w:w="1017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245"/>
        <w:gridCol w:w="4927"/>
      </w:tblGrid>
      <w:tr w14:paraId="0AE43D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245" w:type="dxa"/>
            <w:tcBorders>
              <w:top w:val="single" w:color="000000" w:sz="4" w:space="0"/>
              <w:left w:val="single" w:color="000000" w:sz="4" w:space="0"/>
              <w:bottom w:val="single" w:color="000000" w:sz="4" w:space="0"/>
              <w:right w:val="single" w:color="000000" w:sz="4" w:space="0"/>
            </w:tcBorders>
          </w:tcPr>
          <w:p w14:paraId="5D61E370">
            <w:pPr>
              <w:jc w:val="center"/>
              <w:rPr>
                <w:rFonts w:ascii="Times New Roman" w:hAnsi="Times New Roman" w:cs="Times New Roman"/>
                <w:sz w:val="24"/>
                <w:szCs w:val="24"/>
                <w:highlight w:val="none"/>
              </w:rPr>
            </w:pPr>
            <w:r>
              <w:rPr>
                <w:rFonts w:ascii="Times New Roman" w:hAnsi="Times New Roman" w:cs="Times New Roman"/>
                <w:sz w:val="24"/>
                <w:szCs w:val="24"/>
                <w:highlight w:val="none"/>
              </w:rPr>
              <w:t xml:space="preserve">Заказчик </w:t>
            </w:r>
          </w:p>
        </w:tc>
        <w:tc>
          <w:tcPr>
            <w:tcW w:w="4927" w:type="dxa"/>
            <w:tcBorders>
              <w:top w:val="single" w:color="000000" w:sz="4" w:space="0"/>
              <w:left w:val="single" w:color="000000" w:sz="4" w:space="0"/>
              <w:bottom w:val="single" w:color="000000" w:sz="4" w:space="0"/>
              <w:right w:val="single" w:color="000000" w:sz="4" w:space="0"/>
            </w:tcBorders>
          </w:tcPr>
          <w:p w14:paraId="52960CAB">
            <w:pPr>
              <w:jc w:val="center"/>
              <w:rPr>
                <w:rFonts w:ascii="Times New Roman" w:hAnsi="Times New Roman" w:cs="Times New Roman"/>
                <w:sz w:val="24"/>
                <w:szCs w:val="24"/>
                <w:highlight w:val="none"/>
              </w:rPr>
            </w:pPr>
            <w:r>
              <w:rPr>
                <w:rFonts w:ascii="Times New Roman" w:hAnsi="Times New Roman" w:cs="Times New Roman"/>
                <w:sz w:val="24"/>
                <w:szCs w:val="24"/>
                <w:highlight w:val="none"/>
              </w:rPr>
              <w:t>Подрядчик</w:t>
            </w:r>
          </w:p>
        </w:tc>
      </w:tr>
      <w:tr w14:paraId="519ED9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26" w:hRule="atLeast"/>
        </w:trPr>
        <w:tc>
          <w:tcPr>
            <w:tcW w:w="5245" w:type="dxa"/>
            <w:tcBorders>
              <w:top w:val="single" w:color="000000" w:sz="4" w:space="0"/>
              <w:left w:val="single" w:color="000000" w:sz="4" w:space="0"/>
              <w:bottom w:val="single" w:color="000000" w:sz="4" w:space="0"/>
              <w:right w:val="single" w:color="000000" w:sz="4" w:space="0"/>
            </w:tcBorders>
          </w:tcPr>
          <w:p w14:paraId="12AE9879">
            <w:pPr>
              <w:rPr>
                <w:rFonts w:ascii="Times New Roman" w:hAnsi="Times New Roman" w:cs="Times New Roman"/>
                <w:sz w:val="24"/>
                <w:szCs w:val="24"/>
                <w:highlight w:val="none"/>
              </w:rPr>
            </w:pPr>
          </w:p>
          <w:p w14:paraId="7BA48608">
            <w:pPr>
              <w:widowControl w:val="0"/>
              <w:jc w:val="both"/>
              <w:rPr>
                <w:rFonts w:ascii="Times New Roman" w:hAnsi="Times New Roman" w:eastAsia="PT Astra Serif" w:cs="Times New Roman"/>
                <w:color w:val="000000"/>
                <w:sz w:val="24"/>
                <w:szCs w:val="24"/>
                <w:highlight w:val="none"/>
              </w:rPr>
            </w:pPr>
            <w:r>
              <w:rPr>
                <w:rFonts w:ascii="Times New Roman" w:hAnsi="Times New Roman" w:eastAsia="PT Astra Serif" w:cs="Times New Roman"/>
                <w:color w:val="000000"/>
                <w:sz w:val="24"/>
                <w:szCs w:val="24"/>
                <w:highlight w:val="none"/>
              </w:rPr>
              <w:t>Муниципальное казенное учреждение</w:t>
            </w:r>
          </w:p>
          <w:p w14:paraId="0FCAE257">
            <w:pPr>
              <w:widowControl w:val="0"/>
              <w:jc w:val="both"/>
              <w:rPr>
                <w:rFonts w:ascii="Times New Roman" w:hAnsi="Times New Roman" w:eastAsia="PT Astra Serif" w:cs="Times New Roman"/>
                <w:color w:val="000000"/>
                <w:sz w:val="24"/>
                <w:szCs w:val="24"/>
                <w:highlight w:val="none"/>
              </w:rPr>
            </w:pPr>
            <w:r>
              <w:rPr>
                <w:rFonts w:ascii="Times New Roman" w:hAnsi="Times New Roman" w:eastAsia="PT Astra Serif" w:cs="Times New Roman"/>
                <w:color w:val="000000"/>
                <w:sz w:val="24"/>
                <w:szCs w:val="24"/>
                <w:highlight w:val="none"/>
              </w:rPr>
              <w:t>«Управление капитального строительства» администрации городского округа «Город Дербент»</w:t>
            </w:r>
          </w:p>
          <w:p w14:paraId="30B93E72">
            <w:pPr>
              <w:widowControl w:val="0"/>
              <w:jc w:val="both"/>
              <w:rPr>
                <w:rFonts w:ascii="Times New Roman" w:hAnsi="Times New Roman" w:eastAsia="PT Astra Serif" w:cs="Times New Roman"/>
                <w:color w:val="000000"/>
                <w:sz w:val="24"/>
                <w:szCs w:val="24"/>
                <w:highlight w:val="none"/>
              </w:rPr>
            </w:pPr>
            <w:r>
              <w:rPr>
                <w:rFonts w:ascii="Times New Roman" w:hAnsi="Times New Roman" w:eastAsia="PT Astra Serif" w:cs="Times New Roman"/>
                <w:color w:val="000000"/>
                <w:sz w:val="24"/>
                <w:szCs w:val="24"/>
                <w:highlight w:val="none"/>
              </w:rPr>
              <w:t>Юридический адрес: 368600, РД. г. Дербент, Пл. Свободы, д.2, кабинет 16</w:t>
            </w:r>
          </w:p>
          <w:p w14:paraId="681FCC8E">
            <w:pPr>
              <w:widowControl w:val="0"/>
              <w:jc w:val="both"/>
              <w:rPr>
                <w:rFonts w:ascii="Times New Roman" w:hAnsi="Times New Roman" w:eastAsia="PT Astra Serif" w:cs="Times New Roman"/>
                <w:color w:val="000000"/>
                <w:sz w:val="24"/>
                <w:szCs w:val="24"/>
                <w:highlight w:val="none"/>
              </w:rPr>
            </w:pPr>
            <w:r>
              <w:rPr>
                <w:rFonts w:ascii="Times New Roman" w:hAnsi="Times New Roman" w:eastAsia="PT Astra Serif" w:cs="Times New Roman"/>
                <w:color w:val="000000"/>
                <w:sz w:val="24"/>
                <w:szCs w:val="24"/>
                <w:highlight w:val="none"/>
              </w:rPr>
              <w:t>Почтовый адрес: 368600, РД. г. Дербент,</w:t>
            </w:r>
          </w:p>
          <w:p w14:paraId="2079807D">
            <w:pPr>
              <w:widowControl w:val="0"/>
              <w:jc w:val="both"/>
              <w:rPr>
                <w:rFonts w:ascii="Times New Roman" w:hAnsi="Times New Roman" w:eastAsia="PT Astra Serif" w:cs="Times New Roman"/>
                <w:color w:val="000000"/>
                <w:sz w:val="24"/>
                <w:szCs w:val="24"/>
                <w:highlight w:val="none"/>
              </w:rPr>
            </w:pPr>
            <w:r>
              <w:rPr>
                <w:rFonts w:ascii="Times New Roman" w:hAnsi="Times New Roman" w:eastAsia="PT Astra Serif" w:cs="Times New Roman"/>
                <w:color w:val="000000"/>
                <w:sz w:val="24"/>
                <w:szCs w:val="24"/>
                <w:highlight w:val="none"/>
              </w:rPr>
              <w:t>ул. Х. Тагиева, д. 30</w:t>
            </w:r>
          </w:p>
          <w:p w14:paraId="2DEEEA35">
            <w:pPr>
              <w:widowControl w:val="0"/>
              <w:jc w:val="both"/>
              <w:rPr>
                <w:rFonts w:ascii="Times New Roman" w:hAnsi="Times New Roman" w:eastAsia="PT Astra Serif" w:cs="Times New Roman"/>
                <w:color w:val="000000"/>
                <w:sz w:val="24"/>
                <w:szCs w:val="24"/>
                <w:highlight w:val="none"/>
              </w:rPr>
            </w:pPr>
            <w:r>
              <w:rPr>
                <w:rFonts w:ascii="Times New Roman" w:hAnsi="Times New Roman" w:eastAsia="PT Astra Serif" w:cs="Times New Roman"/>
                <w:color w:val="000000"/>
                <w:sz w:val="24"/>
                <w:szCs w:val="24"/>
                <w:highlight w:val="none"/>
              </w:rPr>
              <w:t>ИНН: 0542018505</w:t>
            </w:r>
          </w:p>
          <w:p w14:paraId="28DC51A6">
            <w:pPr>
              <w:widowControl w:val="0"/>
              <w:jc w:val="both"/>
              <w:rPr>
                <w:rFonts w:ascii="Times New Roman" w:hAnsi="Times New Roman" w:eastAsia="PT Astra Serif" w:cs="Times New Roman"/>
                <w:color w:val="000000"/>
                <w:sz w:val="24"/>
                <w:szCs w:val="24"/>
                <w:highlight w:val="none"/>
              </w:rPr>
            </w:pPr>
            <w:r>
              <w:rPr>
                <w:rFonts w:ascii="Times New Roman" w:hAnsi="Times New Roman" w:eastAsia="PT Astra Serif" w:cs="Times New Roman"/>
                <w:color w:val="000000"/>
                <w:sz w:val="24"/>
                <w:szCs w:val="24"/>
                <w:highlight w:val="none"/>
              </w:rPr>
              <w:t xml:space="preserve">КПП: 054201001  </w:t>
            </w:r>
          </w:p>
          <w:p w14:paraId="0F333377">
            <w:pPr>
              <w:widowControl w:val="0"/>
              <w:jc w:val="both"/>
              <w:rPr>
                <w:rFonts w:ascii="Times New Roman" w:hAnsi="Times New Roman" w:eastAsia="PT Astra Serif" w:cs="Times New Roman"/>
                <w:color w:val="000000"/>
                <w:sz w:val="24"/>
                <w:szCs w:val="24"/>
                <w:highlight w:val="none"/>
              </w:rPr>
            </w:pPr>
            <w:r>
              <w:rPr>
                <w:rFonts w:ascii="Times New Roman" w:hAnsi="Times New Roman" w:eastAsia="PT Astra Serif" w:cs="Times New Roman"/>
                <w:color w:val="000000"/>
                <w:sz w:val="24"/>
                <w:szCs w:val="24"/>
                <w:highlight w:val="none"/>
              </w:rPr>
              <w:t>УФК по Республике Дагестан (МКУ «Управление капитального строительства»)</w:t>
            </w:r>
          </w:p>
          <w:p w14:paraId="06681E1F">
            <w:pPr>
              <w:widowControl w:val="0"/>
              <w:jc w:val="both"/>
              <w:rPr>
                <w:rFonts w:ascii="Times New Roman" w:hAnsi="Times New Roman" w:eastAsia="PT Astra Serif" w:cs="Times New Roman"/>
                <w:color w:val="000000"/>
                <w:sz w:val="24"/>
                <w:szCs w:val="24"/>
                <w:highlight w:val="none"/>
              </w:rPr>
            </w:pPr>
            <w:r>
              <w:rPr>
                <w:rFonts w:ascii="Times New Roman" w:hAnsi="Times New Roman" w:eastAsia="PT Astra Serif" w:cs="Times New Roman"/>
                <w:color w:val="000000"/>
                <w:sz w:val="24"/>
                <w:szCs w:val="24"/>
                <w:highlight w:val="none"/>
              </w:rPr>
              <w:t>л/с.: 03033209970</w:t>
            </w:r>
          </w:p>
          <w:p w14:paraId="4A79D92C">
            <w:pPr>
              <w:widowControl w:val="0"/>
              <w:jc w:val="both"/>
              <w:rPr>
                <w:rFonts w:ascii="Times New Roman" w:hAnsi="Times New Roman" w:eastAsia="PT Astra Serif" w:cs="Times New Roman"/>
                <w:color w:val="000000"/>
                <w:sz w:val="24"/>
                <w:szCs w:val="24"/>
                <w:highlight w:val="none"/>
              </w:rPr>
            </w:pPr>
            <w:r>
              <w:rPr>
                <w:rFonts w:ascii="Times New Roman" w:hAnsi="Times New Roman" w:eastAsia="PT Astra Serif" w:cs="Times New Roman"/>
                <w:color w:val="000000"/>
                <w:sz w:val="24"/>
                <w:szCs w:val="24"/>
                <w:highlight w:val="none"/>
              </w:rPr>
              <w:t>р/сч.: 03231643827100000300</w:t>
            </w:r>
          </w:p>
          <w:p w14:paraId="7B9B35DE">
            <w:pPr>
              <w:widowControl w:val="0"/>
              <w:jc w:val="both"/>
              <w:rPr>
                <w:rFonts w:ascii="Times New Roman" w:hAnsi="Times New Roman" w:eastAsia="PT Astra Serif" w:cs="Times New Roman"/>
                <w:color w:val="000000"/>
                <w:sz w:val="24"/>
                <w:szCs w:val="24"/>
                <w:highlight w:val="none"/>
              </w:rPr>
            </w:pPr>
            <w:r>
              <w:rPr>
                <w:rFonts w:ascii="Times New Roman" w:hAnsi="Times New Roman" w:eastAsia="PT Astra Serif" w:cs="Times New Roman"/>
                <w:color w:val="000000"/>
                <w:sz w:val="24"/>
                <w:szCs w:val="24"/>
                <w:highlight w:val="none"/>
              </w:rPr>
              <w:t>Отделение НБ Республика Дагестан Банка России // УФК по Республике Дагестан г. Махачкала.</w:t>
            </w:r>
          </w:p>
          <w:p w14:paraId="4C95035E">
            <w:pPr>
              <w:widowControl w:val="0"/>
              <w:jc w:val="both"/>
              <w:rPr>
                <w:rFonts w:ascii="Times New Roman" w:hAnsi="Times New Roman" w:eastAsia="PT Astra Serif" w:cs="Times New Roman"/>
                <w:color w:val="000000"/>
                <w:sz w:val="24"/>
                <w:szCs w:val="24"/>
                <w:highlight w:val="none"/>
              </w:rPr>
            </w:pPr>
            <w:r>
              <w:rPr>
                <w:rFonts w:ascii="Times New Roman" w:hAnsi="Times New Roman" w:eastAsia="PT Astra Serif" w:cs="Times New Roman"/>
                <w:color w:val="000000"/>
                <w:sz w:val="24"/>
                <w:szCs w:val="24"/>
                <w:highlight w:val="none"/>
              </w:rPr>
              <w:t>БИК: 018209001</w:t>
            </w:r>
          </w:p>
          <w:p w14:paraId="1760DDF5">
            <w:pPr>
              <w:widowControl w:val="0"/>
              <w:jc w:val="both"/>
              <w:rPr>
                <w:rFonts w:ascii="Times New Roman" w:hAnsi="Times New Roman" w:eastAsia="PT Astra Serif" w:cs="Times New Roman"/>
                <w:color w:val="000000"/>
                <w:sz w:val="24"/>
                <w:szCs w:val="24"/>
                <w:highlight w:val="none"/>
              </w:rPr>
            </w:pPr>
            <w:r>
              <w:rPr>
                <w:rFonts w:ascii="Times New Roman" w:hAnsi="Times New Roman" w:eastAsia="PT Astra Serif" w:cs="Times New Roman"/>
                <w:color w:val="000000"/>
                <w:sz w:val="24"/>
                <w:szCs w:val="24"/>
                <w:highlight w:val="none"/>
              </w:rPr>
              <w:t>ЕКС: 40102810945370000069</w:t>
            </w:r>
          </w:p>
          <w:p w14:paraId="1FF28EFC">
            <w:pPr>
              <w:rPr>
                <w:rFonts w:ascii="Times New Roman" w:hAnsi="Times New Roman" w:cs="Times New Roman"/>
                <w:sz w:val="24"/>
                <w:szCs w:val="24"/>
                <w:highlight w:val="none"/>
              </w:rPr>
            </w:pPr>
          </w:p>
        </w:tc>
        <w:tc>
          <w:tcPr>
            <w:tcW w:w="4927" w:type="dxa"/>
            <w:tcBorders>
              <w:top w:val="single" w:color="000000" w:sz="4" w:space="0"/>
              <w:left w:val="single" w:color="000000" w:sz="4" w:space="0"/>
              <w:bottom w:val="single" w:color="000000" w:sz="4" w:space="0"/>
              <w:right w:val="single" w:color="000000" w:sz="4" w:space="0"/>
            </w:tcBorders>
          </w:tcPr>
          <w:p w14:paraId="6E6127CB">
            <w:pPr>
              <w:tabs>
                <w:tab w:val="left" w:pos="4003"/>
              </w:tabs>
              <w:ind w:right="567"/>
              <w:rPr>
                <w:rFonts w:ascii="Times New Roman" w:hAnsi="Times New Roman" w:eastAsia="sans-serif" w:cs="Times New Roman"/>
                <w:color w:val="111111"/>
                <w:sz w:val="24"/>
                <w:szCs w:val="24"/>
                <w:highlight w:val="none"/>
                <w:lang w:eastAsia="zh-CN" w:bidi="ar"/>
              </w:rPr>
            </w:pPr>
            <w:r>
              <w:rPr>
                <w:rFonts w:ascii="Times New Roman" w:hAnsi="Times New Roman" w:eastAsia="sans-serif" w:cs="Times New Roman"/>
                <w:color w:val="111111"/>
                <w:sz w:val="24"/>
                <w:szCs w:val="24"/>
                <w:highlight w:val="none"/>
                <w:lang w:eastAsia="zh-CN" w:bidi="ar"/>
              </w:rPr>
              <w:t>ОБЩЕСТВО С ОГРАНИЧЕННОЙ ОТВЕТСТВЕННОСТЬЮ "ТОРГОВО-СТРОИТЕЛЬНАЯ КОМПАНИЯ "МЕГАПОЛИС"</w:t>
            </w:r>
          </w:p>
          <w:p w14:paraId="3061B316">
            <w:pPr>
              <w:tabs>
                <w:tab w:val="left" w:pos="4003"/>
              </w:tabs>
              <w:ind w:right="567"/>
              <w:rPr>
                <w:rFonts w:ascii="Times New Roman" w:hAnsi="Times New Roman" w:eastAsia="sans-serif" w:cs="Times New Roman"/>
                <w:color w:val="111111"/>
                <w:sz w:val="24"/>
                <w:szCs w:val="24"/>
                <w:highlight w:val="none"/>
                <w:lang w:eastAsia="zh-CN" w:bidi="ar"/>
              </w:rPr>
            </w:pPr>
            <w:r>
              <w:rPr>
                <w:rFonts w:ascii="Times New Roman" w:hAnsi="Times New Roman" w:eastAsia="sans-serif" w:cs="Times New Roman"/>
                <w:color w:val="111111"/>
                <w:sz w:val="24"/>
                <w:szCs w:val="24"/>
                <w:highlight w:val="none"/>
                <w:lang w:eastAsia="zh-CN" w:bidi="ar"/>
              </w:rPr>
              <w:t xml:space="preserve">ИНН </w:t>
            </w:r>
            <w:r>
              <w:rPr>
                <w:rFonts w:ascii="Times New Roman" w:hAnsi="Times New Roman" w:eastAsia="sans-serif" w:cs="Times New Roman"/>
                <w:color w:val="1C1C1C"/>
                <w:sz w:val="24"/>
                <w:szCs w:val="24"/>
                <w:highlight w:val="none"/>
                <w:shd w:val="clear" w:color="auto" w:fill="FDFDFD"/>
              </w:rPr>
              <w:t>0571001143</w:t>
            </w:r>
          </w:p>
          <w:p w14:paraId="02B236A0">
            <w:pPr>
              <w:tabs>
                <w:tab w:val="left" w:pos="4003"/>
              </w:tabs>
              <w:ind w:right="567"/>
              <w:rPr>
                <w:rFonts w:ascii="Times New Roman" w:hAnsi="Times New Roman" w:eastAsia="sans-serif" w:cs="Times New Roman"/>
                <w:color w:val="111111"/>
                <w:sz w:val="24"/>
                <w:szCs w:val="24"/>
                <w:highlight w:val="none"/>
                <w:lang w:eastAsia="zh-CN" w:bidi="ar"/>
              </w:rPr>
            </w:pPr>
            <w:r>
              <w:rPr>
                <w:rFonts w:ascii="Times New Roman" w:hAnsi="Times New Roman" w:eastAsia="sans-serif" w:cs="Times New Roman"/>
                <w:color w:val="111111"/>
                <w:sz w:val="24"/>
                <w:szCs w:val="24"/>
                <w:highlight w:val="none"/>
                <w:lang w:eastAsia="zh-CN" w:bidi="ar"/>
              </w:rPr>
              <w:t xml:space="preserve">КПП </w:t>
            </w:r>
            <w:r>
              <w:rPr>
                <w:rFonts w:ascii="Times New Roman" w:hAnsi="Times New Roman" w:eastAsia="sans-serif" w:cs="Times New Roman"/>
                <w:color w:val="1C1C1C"/>
                <w:sz w:val="24"/>
                <w:szCs w:val="24"/>
                <w:highlight w:val="none"/>
                <w:shd w:val="clear" w:color="auto" w:fill="FDFDFD"/>
              </w:rPr>
              <w:t>771701001</w:t>
            </w:r>
          </w:p>
          <w:p w14:paraId="67A74F25">
            <w:pPr>
              <w:tabs>
                <w:tab w:val="left" w:pos="4003"/>
              </w:tabs>
              <w:ind w:right="567"/>
              <w:rPr>
                <w:rFonts w:ascii="Times New Roman" w:hAnsi="Times New Roman" w:eastAsia="sans-serif" w:cs="Times New Roman"/>
                <w:color w:val="111111"/>
                <w:sz w:val="24"/>
                <w:szCs w:val="24"/>
                <w:highlight w:val="none"/>
                <w:lang w:eastAsia="zh-CN" w:bidi="ar"/>
              </w:rPr>
            </w:pPr>
            <w:r>
              <w:rPr>
                <w:rFonts w:ascii="Times New Roman" w:hAnsi="Times New Roman" w:eastAsia="sans-serif" w:cs="Times New Roman"/>
                <w:color w:val="111111"/>
                <w:sz w:val="24"/>
                <w:szCs w:val="24"/>
                <w:highlight w:val="none"/>
                <w:lang w:eastAsia="zh-CN" w:bidi="ar"/>
              </w:rPr>
              <w:t xml:space="preserve">ОГРН </w:t>
            </w:r>
            <w:r>
              <w:rPr>
                <w:rFonts w:ascii="Times New Roman" w:hAnsi="Times New Roman" w:eastAsia="sans-serif" w:cs="Times New Roman"/>
                <w:color w:val="1C1C1C"/>
                <w:sz w:val="24"/>
                <w:szCs w:val="24"/>
                <w:highlight w:val="none"/>
                <w:shd w:val="clear" w:color="auto" w:fill="FDFDFD"/>
              </w:rPr>
              <w:t>1120571000703</w:t>
            </w:r>
          </w:p>
          <w:p w14:paraId="2AC3E02A">
            <w:pPr>
              <w:tabs>
                <w:tab w:val="left" w:pos="4003"/>
              </w:tabs>
              <w:ind w:right="567"/>
              <w:rPr>
                <w:rFonts w:ascii="Times New Roman" w:hAnsi="Times New Roman" w:eastAsia="sans-serif" w:cs="Times New Roman"/>
                <w:color w:val="111111"/>
                <w:sz w:val="24"/>
                <w:szCs w:val="24"/>
                <w:highlight w:val="none"/>
                <w:lang w:eastAsia="zh-CN" w:bidi="ar"/>
              </w:rPr>
            </w:pPr>
            <w:r>
              <w:rPr>
                <w:rFonts w:ascii="Times New Roman" w:hAnsi="Times New Roman" w:eastAsia="sans-serif" w:cs="Times New Roman"/>
                <w:color w:val="111111"/>
                <w:sz w:val="24"/>
                <w:szCs w:val="24"/>
                <w:highlight w:val="none"/>
                <w:lang w:eastAsia="zh-CN" w:bidi="ar"/>
              </w:rPr>
              <w:t xml:space="preserve">Юр.адрес </w:t>
            </w:r>
            <w:r>
              <w:rPr>
                <w:rFonts w:ascii="Times New Roman" w:hAnsi="Times New Roman" w:eastAsia="sans-serif" w:cs="Times New Roman"/>
                <w:color w:val="1C1C1C"/>
                <w:sz w:val="24"/>
                <w:szCs w:val="24"/>
                <w:highlight w:val="none"/>
                <w:shd w:val="clear" w:color="auto" w:fill="FDFDFD"/>
              </w:rPr>
              <w:t>129226, Г.МОСКВА, вн.тер.г. МУНИЦИПАЛЬНЫЙ ОКРУГ РОСТОКИНО, УЛ СЕЛЬСКОХОЗЯЙСТВЕННАЯ, Д. 17, К. 1, ПОМЕЩ. 13П</w:t>
            </w:r>
          </w:p>
          <w:p w14:paraId="7D579B24">
            <w:pPr>
              <w:tabs>
                <w:tab w:val="left" w:pos="4003"/>
              </w:tabs>
              <w:ind w:right="567"/>
              <w:rPr>
                <w:rFonts w:ascii="Times New Roman" w:hAnsi="Times New Roman" w:eastAsia="sans-serif" w:cs="Times New Roman"/>
                <w:color w:val="1C1C1C"/>
                <w:sz w:val="24"/>
                <w:szCs w:val="24"/>
                <w:highlight w:val="none"/>
                <w:shd w:val="clear" w:color="auto" w:fill="FDFDFD"/>
              </w:rPr>
            </w:pPr>
            <w:r>
              <w:rPr>
                <w:rFonts w:ascii="Times New Roman" w:hAnsi="Times New Roman" w:cs="Times New Roman"/>
                <w:sz w:val="24"/>
                <w:szCs w:val="24"/>
                <w:highlight w:val="none"/>
              </w:rPr>
              <w:t xml:space="preserve">Фактический адрес </w:t>
            </w:r>
            <w:r>
              <w:rPr>
                <w:rFonts w:ascii="Times New Roman" w:hAnsi="Times New Roman" w:eastAsia="sans-serif" w:cs="Times New Roman"/>
                <w:color w:val="1C1C1C"/>
                <w:sz w:val="24"/>
                <w:szCs w:val="24"/>
                <w:highlight w:val="none"/>
                <w:shd w:val="clear" w:color="auto" w:fill="FDFDFD"/>
              </w:rPr>
              <w:t>г.Махачкала, проспект Петра Первого, д. 59, кв. 87</w:t>
            </w:r>
          </w:p>
          <w:p w14:paraId="14198A29">
            <w:pPr>
              <w:tabs>
                <w:tab w:val="left" w:pos="4003"/>
              </w:tabs>
              <w:ind w:right="567"/>
              <w:rPr>
                <w:rFonts w:ascii="Times New Roman" w:hAnsi="Times New Roman" w:eastAsia="sans-serif" w:cs="Times New Roman"/>
                <w:color w:val="1C1C1C"/>
                <w:sz w:val="24"/>
                <w:szCs w:val="24"/>
                <w:highlight w:val="none"/>
                <w:shd w:val="clear" w:color="auto" w:fill="FDFDFD"/>
              </w:rPr>
            </w:pPr>
            <w:r>
              <w:rPr>
                <w:rFonts w:ascii="Times New Roman" w:hAnsi="Times New Roman" w:eastAsia="sans-serif" w:cs="Times New Roman"/>
                <w:color w:val="1C1C1C"/>
                <w:sz w:val="24"/>
                <w:szCs w:val="24"/>
                <w:highlight w:val="none"/>
                <w:shd w:val="clear" w:color="auto" w:fill="FDFDFD"/>
              </w:rPr>
              <w:t>Тел. 79382057888</w:t>
            </w:r>
            <w:r>
              <w:rPr>
                <w:rFonts w:ascii="SimSun" w:hAnsi="SimSun" w:eastAsia="SimSun" w:cs="SimSun"/>
                <w:sz w:val="24"/>
                <w:szCs w:val="24"/>
                <w:highlight w:val="none"/>
              </w:rPr>
              <w:br w:type="textWrapping"/>
            </w:r>
            <w:r>
              <w:rPr>
                <w:rFonts w:ascii="Times New Roman" w:hAnsi="Times New Roman" w:eastAsia="SimSun" w:cs="Times New Roman"/>
                <w:sz w:val="24"/>
                <w:szCs w:val="24"/>
                <w:highlight w:val="none"/>
              </w:rPr>
              <w:t xml:space="preserve">Эл. Почта: </w:t>
            </w:r>
            <w:r>
              <w:rPr>
                <w:rFonts w:ascii="Times New Roman" w:hAnsi="Times New Roman" w:eastAsia="SimSun" w:cs="Times New Roman"/>
                <w:color w:val="000000"/>
                <w:sz w:val="24"/>
                <w:szCs w:val="24"/>
                <w:highlight w:val="none"/>
                <w:shd w:val="clear" w:color="auto" w:fill="FFFFFF"/>
              </w:rPr>
              <w:t>megapolis.tsk@bk.ru</w:t>
            </w:r>
          </w:p>
          <w:p w14:paraId="2DD5DB01">
            <w:pPr>
              <w:tabs>
                <w:tab w:val="left" w:pos="4003"/>
              </w:tabs>
              <w:ind w:right="567"/>
              <w:rPr>
                <w:rFonts w:ascii="Times New Roman" w:hAnsi="Times New Roman" w:eastAsia="sans-serif" w:cs="Times New Roman"/>
                <w:color w:val="1C1C1C"/>
                <w:sz w:val="24"/>
                <w:szCs w:val="24"/>
                <w:highlight w:val="none"/>
                <w:shd w:val="clear" w:color="auto" w:fill="FDFDFD"/>
              </w:rPr>
            </w:pPr>
            <w:r>
              <w:rPr>
                <w:rFonts w:ascii="Times New Roman" w:hAnsi="Times New Roman" w:eastAsia="sans-serif" w:cs="Times New Roman"/>
                <w:color w:val="1C1C1C"/>
                <w:sz w:val="24"/>
                <w:szCs w:val="24"/>
                <w:highlight w:val="none"/>
                <w:shd w:val="clear" w:color="auto" w:fill="FDFDFD"/>
              </w:rPr>
              <w:t>Банковские реквизиты:</w:t>
            </w:r>
          </w:p>
          <w:p w14:paraId="14055405">
            <w:pPr>
              <w:tabs>
                <w:tab w:val="left" w:pos="4003"/>
              </w:tabs>
              <w:ind w:right="567"/>
              <w:rPr>
                <w:rFonts w:ascii="Times New Roman" w:hAnsi="Times New Roman" w:eastAsia="sans-serif" w:cs="Times New Roman"/>
                <w:color w:val="1C1C1C"/>
                <w:sz w:val="24"/>
                <w:szCs w:val="24"/>
                <w:highlight w:val="none"/>
                <w:shd w:val="clear" w:color="auto" w:fill="FDFDFD"/>
              </w:rPr>
            </w:pPr>
            <w:r>
              <w:rPr>
                <w:rFonts w:ascii="Times New Roman" w:hAnsi="Times New Roman" w:eastAsia="sans-serif" w:cs="Times New Roman"/>
                <w:color w:val="1C1C1C"/>
                <w:sz w:val="24"/>
                <w:szCs w:val="24"/>
                <w:highlight w:val="none"/>
                <w:shd w:val="clear" w:color="auto" w:fill="FDFDFD"/>
              </w:rPr>
              <w:t>Название банкаСтавропольское отделение № 5230 ПАО Сбербанк</w:t>
            </w:r>
          </w:p>
          <w:p w14:paraId="4EB1E8D1">
            <w:pPr>
              <w:tabs>
                <w:tab w:val="left" w:pos="4003"/>
              </w:tabs>
              <w:ind w:right="567"/>
              <w:rPr>
                <w:rFonts w:ascii="Times New Roman" w:hAnsi="Times New Roman" w:eastAsia="sans-serif" w:cs="Times New Roman"/>
                <w:color w:val="1C1C1C"/>
                <w:sz w:val="24"/>
                <w:szCs w:val="24"/>
                <w:highlight w:val="none"/>
                <w:shd w:val="clear" w:color="auto" w:fill="FDFDFD"/>
              </w:rPr>
            </w:pPr>
            <w:r>
              <w:rPr>
                <w:rFonts w:ascii="Times New Roman" w:hAnsi="Times New Roman" w:eastAsia="sans-serif" w:cs="Times New Roman"/>
                <w:color w:val="1C1C1C"/>
                <w:sz w:val="24"/>
                <w:szCs w:val="24"/>
                <w:highlight w:val="none"/>
                <w:shd w:val="clear" w:color="auto" w:fill="FDFDFD"/>
              </w:rPr>
              <w:t>Рас.счет 40702810060320012323</w:t>
            </w:r>
          </w:p>
          <w:p w14:paraId="4F2314AB">
            <w:pPr>
              <w:tabs>
                <w:tab w:val="left" w:pos="4003"/>
              </w:tabs>
              <w:ind w:right="567"/>
              <w:rPr>
                <w:rFonts w:ascii="Times New Roman" w:hAnsi="Times New Roman" w:eastAsia="sans-serif" w:cs="Times New Roman"/>
                <w:color w:val="1C1C1C"/>
                <w:sz w:val="24"/>
                <w:szCs w:val="24"/>
                <w:highlight w:val="none"/>
                <w:shd w:val="clear" w:color="auto" w:fill="FDFDFD"/>
              </w:rPr>
            </w:pPr>
            <w:r>
              <w:rPr>
                <w:rFonts w:ascii="Times New Roman" w:hAnsi="Times New Roman" w:eastAsia="sans-serif" w:cs="Times New Roman"/>
                <w:color w:val="1C1C1C"/>
                <w:sz w:val="24"/>
                <w:szCs w:val="24"/>
                <w:highlight w:val="none"/>
                <w:shd w:val="clear" w:color="auto" w:fill="FDFDFD"/>
              </w:rPr>
              <w:t>Кор. Счет 30101810907020000615</w:t>
            </w:r>
          </w:p>
          <w:p w14:paraId="4793D000">
            <w:pPr>
              <w:tabs>
                <w:tab w:val="left" w:pos="4003"/>
              </w:tabs>
              <w:ind w:right="567"/>
              <w:rPr>
                <w:rFonts w:ascii="Times New Roman" w:hAnsi="Times New Roman" w:eastAsia="sans-serif" w:cs="Times New Roman"/>
                <w:color w:val="1C1C1C"/>
                <w:sz w:val="24"/>
                <w:szCs w:val="24"/>
                <w:highlight w:val="none"/>
                <w:shd w:val="clear" w:color="auto" w:fill="FDFDFD"/>
              </w:rPr>
            </w:pPr>
            <w:r>
              <w:rPr>
                <w:rFonts w:ascii="Times New Roman" w:hAnsi="Times New Roman" w:eastAsia="sans-serif" w:cs="Times New Roman"/>
                <w:color w:val="1C1C1C"/>
                <w:sz w:val="24"/>
                <w:szCs w:val="24"/>
                <w:highlight w:val="none"/>
                <w:shd w:val="clear" w:color="auto" w:fill="FDFDFD"/>
              </w:rPr>
              <w:t>БИК 040702615</w:t>
            </w:r>
          </w:p>
          <w:p w14:paraId="122DA549">
            <w:pPr>
              <w:tabs>
                <w:tab w:val="left" w:pos="4003"/>
              </w:tabs>
              <w:ind w:right="567"/>
              <w:rPr>
                <w:rFonts w:ascii="Times New Roman" w:hAnsi="Times New Roman" w:eastAsia="sans-serif" w:cs="Times New Roman"/>
                <w:color w:val="1C1C1C"/>
                <w:sz w:val="24"/>
                <w:szCs w:val="24"/>
                <w:highlight w:val="none"/>
                <w:shd w:val="clear" w:color="auto" w:fill="FDFDFD"/>
              </w:rPr>
            </w:pPr>
          </w:p>
        </w:tc>
      </w:tr>
    </w:tbl>
    <w:tbl>
      <w:tblPr>
        <w:tblStyle w:val="9"/>
        <w:tblpPr w:leftFromText="180" w:rightFromText="180" w:vertAnchor="text" w:horzAnchor="margin" w:tblpX="-425" w:tblpY="126"/>
        <w:tblW w:w="10172" w:type="dxa"/>
        <w:tblInd w:w="0" w:type="dxa"/>
        <w:tblLayout w:type="fixed"/>
        <w:tblCellMar>
          <w:top w:w="0" w:type="dxa"/>
          <w:left w:w="108" w:type="dxa"/>
          <w:bottom w:w="0" w:type="dxa"/>
          <w:right w:w="108" w:type="dxa"/>
        </w:tblCellMar>
      </w:tblPr>
      <w:tblGrid>
        <w:gridCol w:w="5250"/>
        <w:gridCol w:w="4922"/>
      </w:tblGrid>
      <w:tr w14:paraId="5E26B35E">
        <w:tblPrEx>
          <w:tblCellMar>
            <w:top w:w="0" w:type="dxa"/>
            <w:left w:w="108" w:type="dxa"/>
            <w:bottom w:w="0" w:type="dxa"/>
            <w:right w:w="108" w:type="dxa"/>
          </w:tblCellMar>
        </w:tblPrEx>
        <w:trPr>
          <w:trHeight w:val="1425" w:hRule="atLeast"/>
        </w:trPr>
        <w:tc>
          <w:tcPr>
            <w:tcW w:w="5250" w:type="dxa"/>
          </w:tcPr>
          <w:p w14:paraId="5E7E1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Times New Roman" w:hAnsi="Times New Roman" w:cs="Times New Roman"/>
                <w:b/>
                <w:bCs/>
                <w:color w:val="333333"/>
                <w:sz w:val="24"/>
                <w:szCs w:val="24"/>
                <w:highlight w:val="none"/>
              </w:rPr>
            </w:pPr>
          </w:p>
          <w:p w14:paraId="1A580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Times New Roman" w:hAnsi="Times New Roman" w:cs="Times New Roman"/>
                <w:b/>
                <w:bCs/>
                <w:color w:val="333333"/>
                <w:sz w:val="24"/>
                <w:szCs w:val="24"/>
                <w:highlight w:val="none"/>
              </w:rPr>
            </w:pPr>
            <w:r>
              <w:rPr>
                <w:rFonts w:ascii="Times New Roman" w:hAnsi="Times New Roman" w:cs="Times New Roman"/>
                <w:b/>
                <w:bCs/>
                <w:color w:val="333333"/>
                <w:sz w:val="24"/>
                <w:szCs w:val="24"/>
                <w:highlight w:val="none"/>
              </w:rPr>
              <w:t xml:space="preserve">Заказчик </w:t>
            </w:r>
          </w:p>
          <w:p w14:paraId="6C609E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Times New Roman" w:hAnsi="Times New Roman" w:cs="Times New Roman"/>
                <w:b/>
                <w:bCs/>
                <w:color w:val="333333"/>
                <w:sz w:val="24"/>
                <w:szCs w:val="24"/>
                <w:highlight w:val="none"/>
              </w:rPr>
            </w:pPr>
            <w:r>
              <w:rPr>
                <w:rFonts w:ascii="Times New Roman" w:hAnsi="Times New Roman" w:cs="Times New Roman"/>
                <w:b/>
                <w:bCs/>
                <w:color w:val="333333"/>
                <w:sz w:val="24"/>
                <w:szCs w:val="24"/>
                <w:highlight w:val="none"/>
              </w:rPr>
              <w:t xml:space="preserve">____________________  </w:t>
            </w:r>
            <w:r>
              <w:rPr>
                <w:rFonts w:ascii="Times New Roman" w:hAnsi="Times New Roman" w:cs="Times New Roman"/>
                <w:b/>
                <w:bCs/>
                <w:sz w:val="24"/>
                <w:szCs w:val="24"/>
                <w:highlight w:val="none"/>
              </w:rPr>
              <w:t xml:space="preserve"> </w:t>
            </w:r>
            <w:r>
              <w:rPr>
                <w:rFonts w:ascii="Times New Roman" w:hAnsi="Times New Roman" w:cs="Times New Roman"/>
                <w:b/>
                <w:bCs/>
                <w:color w:val="333333"/>
                <w:sz w:val="24"/>
                <w:szCs w:val="24"/>
                <w:highlight w:val="none"/>
              </w:rPr>
              <w:t xml:space="preserve"> М.А. Сайпудинов</w:t>
            </w:r>
          </w:p>
          <w:p w14:paraId="26FDC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Times New Roman" w:hAnsi="Times New Roman" w:cs="Times New Roman"/>
                <w:b/>
                <w:bCs/>
                <w:color w:val="333333"/>
                <w:sz w:val="24"/>
                <w:szCs w:val="24"/>
                <w:highlight w:val="none"/>
              </w:rPr>
            </w:pPr>
            <w:r>
              <w:rPr>
                <w:rFonts w:ascii="Times New Roman" w:hAnsi="Times New Roman" w:cs="Times New Roman"/>
                <w:b/>
                <w:bCs/>
                <w:color w:val="333333"/>
                <w:sz w:val="24"/>
                <w:szCs w:val="24"/>
                <w:highlight w:val="none"/>
              </w:rPr>
              <w:t>М.П.</w:t>
            </w:r>
          </w:p>
        </w:tc>
        <w:tc>
          <w:tcPr>
            <w:tcW w:w="4922" w:type="dxa"/>
          </w:tcPr>
          <w:p w14:paraId="1515C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Times New Roman" w:hAnsi="Times New Roman" w:cs="Times New Roman"/>
                <w:b/>
                <w:bCs/>
                <w:iCs/>
                <w:color w:val="333333"/>
                <w:sz w:val="24"/>
                <w:szCs w:val="24"/>
                <w:highlight w:val="none"/>
              </w:rPr>
            </w:pPr>
          </w:p>
          <w:p w14:paraId="586F6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Times New Roman" w:hAnsi="Times New Roman" w:cs="Times New Roman"/>
                <w:b/>
                <w:bCs/>
                <w:iCs/>
                <w:color w:val="333333"/>
                <w:sz w:val="24"/>
                <w:szCs w:val="24"/>
                <w:highlight w:val="none"/>
              </w:rPr>
            </w:pPr>
            <w:r>
              <w:rPr>
                <w:rFonts w:ascii="Times New Roman" w:hAnsi="Times New Roman" w:cs="Times New Roman"/>
                <w:b/>
                <w:bCs/>
                <w:iCs/>
                <w:color w:val="333333"/>
                <w:sz w:val="24"/>
                <w:szCs w:val="24"/>
                <w:highlight w:val="none"/>
              </w:rPr>
              <w:t>Подрядчик</w:t>
            </w:r>
          </w:p>
          <w:p w14:paraId="27F76E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Times New Roman" w:hAnsi="Times New Roman" w:cs="Times New Roman"/>
                <w:b/>
                <w:bCs/>
                <w:iCs/>
                <w:color w:val="333333"/>
                <w:sz w:val="24"/>
                <w:szCs w:val="24"/>
                <w:highlight w:val="none"/>
              </w:rPr>
            </w:pPr>
            <w:r>
              <w:rPr>
                <w:rFonts w:ascii="Times New Roman" w:hAnsi="Times New Roman" w:cs="Times New Roman"/>
                <w:b/>
                <w:bCs/>
                <w:iCs/>
                <w:color w:val="333333"/>
                <w:sz w:val="24"/>
                <w:szCs w:val="24"/>
                <w:highlight w:val="none"/>
              </w:rPr>
              <w:t xml:space="preserve">_________________ </w:t>
            </w:r>
            <w:r>
              <w:rPr>
                <w:rFonts w:ascii="Times New Roman" w:hAnsi="Times New Roman" w:cs="Times New Roman"/>
                <w:b/>
                <w:bCs/>
                <w:sz w:val="24"/>
                <w:szCs w:val="24"/>
                <w:highlight w:val="none"/>
              </w:rPr>
              <w:t xml:space="preserve"> А.А. Хасаев</w:t>
            </w:r>
          </w:p>
          <w:p w14:paraId="04EEB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Times New Roman" w:hAnsi="Times New Roman" w:cs="Times New Roman"/>
                <w:b/>
                <w:bCs/>
                <w:iCs/>
                <w:color w:val="333333"/>
                <w:sz w:val="24"/>
                <w:szCs w:val="24"/>
                <w:highlight w:val="none"/>
              </w:rPr>
            </w:pPr>
            <w:r>
              <w:rPr>
                <w:rFonts w:ascii="Times New Roman" w:hAnsi="Times New Roman" w:cs="Times New Roman"/>
                <w:b/>
                <w:bCs/>
                <w:iCs/>
                <w:color w:val="333333"/>
                <w:sz w:val="24"/>
                <w:szCs w:val="24"/>
                <w:highlight w:val="none"/>
              </w:rPr>
              <w:t>М.П.</w:t>
            </w:r>
          </w:p>
        </w:tc>
      </w:tr>
    </w:tbl>
    <w:p w14:paraId="54ACDAD8">
      <w:pPr>
        <w:widowControl w:val="0"/>
        <w:ind w:left="-15"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5"/>
      </w:tblGrid>
      <w:tr w14:paraId="2C054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Borders>
              <w:top w:val="double" w:color="auto" w:sz="12" w:space="0"/>
              <w:left w:val="double" w:color="auto" w:sz="12" w:space="0"/>
              <w:bottom w:val="double" w:color="auto" w:sz="12" w:space="0"/>
              <w:right w:val="double" w:color="auto" w:sz="12" w:space="0"/>
            </w:tcBorders>
          </w:tcPr>
          <w:p w14:paraId="0D24A0E5">
            <w:pPr>
              <w:spacing w:before="0" w:after="0"/>
              <w:jc w:val="left"/>
            </w:pPr>
            <w:r>
              <w:rPr>
                <w:rFonts w:ascii="Calibri" w:hAnsi="Calibri" w:eastAsia="Calibri" w:cs="Calibri"/>
                <w:b/>
                <w:sz w:val="24"/>
              </w:rPr>
              <w:t>Данные электронной подписи</w:t>
            </w:r>
          </w:p>
          <w:p w14:paraId="318A4FDC">
            <w:pPr>
              <w:spacing w:before="0" w:after="0"/>
              <w:jc w:val="left"/>
            </w:pPr>
            <w:r>
              <w:rPr>
                <w:rFonts w:ascii="Calibri" w:hAnsi="Calibri" w:eastAsia="Calibri" w:cs="Calibri"/>
                <w:b w:val="0"/>
                <w:sz w:val="20"/>
              </w:rPr>
              <w:t>Владелец: ХАСАЕВ АРАБИ АЛИЕВИЧ</w:t>
            </w:r>
          </w:p>
          <w:p w14:paraId="5DC7AE1F">
            <w:pPr>
              <w:spacing w:before="0" w:after="0"/>
              <w:jc w:val="left"/>
            </w:pPr>
            <w:r>
              <w:rPr>
                <w:rFonts w:ascii="Calibri" w:hAnsi="Calibri" w:eastAsia="Calibri" w:cs="Calibri"/>
                <w:b w:val="0"/>
                <w:sz w:val="20"/>
              </w:rPr>
              <w:t xml:space="preserve">Организация: ООО "ТСК "МЕГАПОЛИС", 054302999910 </w:t>
            </w:r>
          </w:p>
          <w:p w14:paraId="302A8317">
            <w:pPr>
              <w:spacing w:before="0" w:after="240"/>
            </w:pPr>
            <w:r>
              <w:rPr>
                <w:rFonts w:ascii="Calibri" w:hAnsi="Calibri" w:eastAsia="Calibri" w:cs="Calibri"/>
                <w:b w:val="0"/>
                <w:sz w:val="20"/>
              </w:rPr>
              <w:t>Подписано: 28.04.2025 17:50:53</w:t>
            </w:r>
          </w:p>
          <w:p w14:paraId="2F283BFC">
            <w:pPr>
              <w:spacing w:before="0" w:after="0"/>
              <w:jc w:val="left"/>
            </w:pPr>
            <w:r>
              <w:rPr>
                <w:rFonts w:ascii="Calibri" w:hAnsi="Calibri" w:eastAsia="Calibri" w:cs="Calibri"/>
                <w:b/>
                <w:sz w:val="24"/>
              </w:rPr>
              <w:t>Данные сертификата</w:t>
            </w:r>
          </w:p>
          <w:p w14:paraId="2D4803FF">
            <w:pPr>
              <w:spacing w:before="0" w:after="0"/>
              <w:jc w:val="left"/>
            </w:pPr>
            <w:r>
              <w:rPr>
                <w:rFonts w:ascii="Calibri" w:hAnsi="Calibri" w:eastAsia="Calibri" w:cs="Calibri"/>
                <w:b w:val="0"/>
                <w:sz w:val="20"/>
              </w:rPr>
              <w:t>Серийный номер:</w:t>
            </w:r>
          </w:p>
          <w:p w14:paraId="71EB3B7C">
            <w:pPr>
              <w:spacing w:before="0" w:after="0"/>
              <w:jc w:val="left"/>
            </w:pPr>
            <w:r>
              <w:rPr>
                <w:rFonts w:ascii="Calibri" w:hAnsi="Calibri" w:eastAsia="Calibri" w:cs="Calibri"/>
                <w:b w:val="0"/>
                <w:sz w:val="20"/>
              </w:rPr>
              <w:t>02344CC100C0B111A342C6A33912A10BD0</w:t>
            </w:r>
          </w:p>
          <w:p w14:paraId="3B95F3C6">
            <w:pPr>
              <w:spacing w:before="0" w:after="0"/>
              <w:jc w:val="left"/>
            </w:pPr>
            <w:r>
              <w:rPr>
                <w:rFonts w:ascii="Calibri" w:hAnsi="Calibri" w:eastAsia="Calibri" w:cs="Calibri"/>
                <w:b w:val="0"/>
                <w:sz w:val="20"/>
              </w:rPr>
              <w:t>Срок действия: 02.08.2024 14:33:47 (МСК) - 02.11.2025 14:43:47 (МСК)</w:t>
            </w:r>
          </w:p>
        </w:tc>
        <w:tc>
          <w:tcPr>
            <w:tcW w:w="2500" w:type="pct"/>
            <w:tcBorders>
              <w:top w:val="double" w:color="auto" w:sz="12" w:space="0"/>
              <w:left w:val="double" w:color="auto" w:sz="12" w:space="0"/>
              <w:bottom w:val="double" w:color="auto" w:sz="12" w:space="0"/>
              <w:right w:val="double" w:color="auto" w:sz="12" w:space="0"/>
            </w:tcBorders>
          </w:tcPr>
          <w:p w14:paraId="672F7CE1">
            <w:pPr>
              <w:spacing w:before="0" w:after="0"/>
              <w:jc w:val="left"/>
            </w:pPr>
            <w:r>
              <w:rPr>
                <w:rFonts w:ascii="Calibri" w:hAnsi="Calibri" w:eastAsia="Calibri" w:cs="Calibri"/>
                <w:b/>
                <w:sz w:val="24"/>
              </w:rPr>
              <w:t>Данные электронной подписи</w:t>
            </w:r>
          </w:p>
          <w:p w14:paraId="030D07A5">
            <w:pPr>
              <w:spacing w:before="0" w:after="0"/>
              <w:jc w:val="left"/>
            </w:pPr>
            <w:r>
              <w:rPr>
                <w:rFonts w:ascii="Calibri" w:hAnsi="Calibri" w:eastAsia="Calibri" w:cs="Calibri"/>
                <w:b w:val="0"/>
                <w:sz w:val="20"/>
              </w:rPr>
              <w:t>Владелец: Сайпудинов Магомед Абдулаевич</w:t>
            </w:r>
          </w:p>
          <w:p w14:paraId="43969D57">
            <w:pPr>
              <w:spacing w:before="0" w:after="0"/>
              <w:jc w:val="left"/>
            </w:pPr>
            <w:r>
              <w:rPr>
                <w:rFonts w:ascii="Calibri" w:hAnsi="Calibri" w:eastAsia="Calibri" w:cs="Calibri"/>
                <w:b w:val="0"/>
                <w:sz w:val="20"/>
              </w:rPr>
              <w:t xml:space="preserve">Организация: МУНИЦИПАЛЬНОЕ КАЗЕННОЕ УЧРЕЖДЕНИЕ "УПРАВЛЕНИЕ КАПИТАЛЬНОГО СТРОИТЕЛЬСТВА" ГОРОДСКОГО ОКРУГА "ГОРОД ДЕРБЕНТ", 053101206100 </w:t>
            </w:r>
          </w:p>
          <w:p w14:paraId="396D54AD">
            <w:pPr>
              <w:spacing w:before="0" w:after="240"/>
            </w:pPr>
            <w:r>
              <w:rPr>
                <w:rFonts w:ascii="Calibri" w:hAnsi="Calibri" w:eastAsia="Calibri" w:cs="Calibri"/>
                <w:b w:val="0"/>
                <w:sz w:val="20"/>
              </w:rPr>
              <w:t>Подписано: 05.05.2025 14:48:11</w:t>
            </w:r>
          </w:p>
          <w:p w14:paraId="71D51C07">
            <w:pPr>
              <w:spacing w:before="0" w:after="0"/>
              <w:jc w:val="left"/>
            </w:pPr>
            <w:r>
              <w:rPr>
                <w:rFonts w:ascii="Calibri" w:hAnsi="Calibri" w:eastAsia="Calibri" w:cs="Calibri"/>
                <w:b/>
                <w:sz w:val="24"/>
              </w:rPr>
              <w:t>Данные сертификата</w:t>
            </w:r>
          </w:p>
          <w:p w14:paraId="3ED7CDDA">
            <w:pPr>
              <w:spacing w:before="0" w:after="0"/>
              <w:jc w:val="left"/>
            </w:pPr>
            <w:r>
              <w:rPr>
                <w:rFonts w:ascii="Calibri" w:hAnsi="Calibri" w:eastAsia="Calibri" w:cs="Calibri"/>
                <w:b w:val="0"/>
                <w:sz w:val="20"/>
              </w:rPr>
              <w:t>Серийный номер:</w:t>
            </w:r>
          </w:p>
          <w:p w14:paraId="4CA93D41">
            <w:pPr>
              <w:spacing w:before="0" w:after="0"/>
              <w:jc w:val="left"/>
            </w:pPr>
            <w:r>
              <w:rPr>
                <w:rFonts w:ascii="Calibri" w:hAnsi="Calibri" w:eastAsia="Calibri" w:cs="Calibri"/>
                <w:b w:val="0"/>
                <w:sz w:val="20"/>
              </w:rPr>
              <w:t>775A376A2D06C787AB1E6D238D32E430</w:t>
            </w:r>
          </w:p>
          <w:p w14:paraId="5F31DEAA">
            <w:pPr>
              <w:spacing w:before="0" w:after="0"/>
              <w:jc w:val="left"/>
            </w:pPr>
            <w:r>
              <w:rPr>
                <w:rFonts w:ascii="Calibri" w:hAnsi="Calibri" w:eastAsia="Calibri" w:cs="Calibri"/>
                <w:b w:val="0"/>
                <w:sz w:val="20"/>
              </w:rPr>
              <w:t>Срок действия: 24.04.2024 10:57:33 (МСК) - 18.07.2025 10:57:33 (МСК)</w:t>
            </w:r>
          </w:p>
        </w:tc>
      </w:tr>
      <w:tr w14:paraId="409AD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Borders>
              <w:top w:val="double" w:color="auto" w:sz="12" w:space="0"/>
              <w:left w:val="double" w:color="auto" w:sz="12" w:space="0"/>
              <w:bottom w:val="double" w:color="auto" w:sz="12" w:space="0"/>
              <w:right w:val="double" w:color="auto" w:sz="12" w:space="0"/>
            </w:tcBorders>
            <w:shd w:val="clear" w:color="auto" w:fill="FFE8CC"/>
            <w:vAlign w:val="center"/>
          </w:tcPr>
          <w:p w14:paraId="3E43D72E">
            <w:pPr>
              <w:spacing w:after="0"/>
              <w:jc w:val="center"/>
            </w:pPr>
            <w:r>
              <w:rPr>
                <w:rFonts w:ascii="Calibri" w:hAnsi="Calibri" w:eastAsia="Calibri" w:cs="Calibri"/>
                <w:b/>
                <w:sz w:val="20"/>
              </w:rPr>
              <w:t>Документ подписан электронной подписью</w:t>
            </w:r>
          </w:p>
        </w:tc>
        <w:tc>
          <w:tcPr>
            <w:tcW w:w="2500" w:type="pct"/>
            <w:tcBorders>
              <w:top w:val="double" w:color="auto" w:sz="12" w:space="0"/>
              <w:left w:val="double" w:color="auto" w:sz="12" w:space="0"/>
              <w:bottom w:val="double" w:color="auto" w:sz="12" w:space="0"/>
              <w:right w:val="double" w:color="auto" w:sz="12" w:space="0"/>
            </w:tcBorders>
            <w:shd w:val="clear" w:color="auto" w:fill="FFE8CC"/>
            <w:vAlign w:val="center"/>
          </w:tcPr>
          <w:p w14:paraId="2CD7389B">
            <w:pPr>
              <w:spacing w:after="0"/>
              <w:jc w:val="center"/>
            </w:pPr>
            <w:r>
              <w:rPr>
                <w:rFonts w:ascii="Calibri" w:hAnsi="Calibri" w:eastAsia="Calibri" w:cs="Calibri"/>
                <w:b/>
                <w:sz w:val="20"/>
              </w:rPr>
              <w:t>Документ подписан электронной подписью</w:t>
            </w:r>
          </w:p>
        </w:tc>
      </w:tr>
    </w:tbl>
    <w:p w14:paraId="553D62A5">
      <w:pPr>
        <w:widowControl w:val="0"/>
        <w:tabs>
          <w:tab w:val="left" w:pos="5911"/>
        </w:tabs>
        <w:ind w:left="-15"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p>
    <w:p w14:paraId="35DB89D0">
      <w:pPr>
        <w:widowControl w:val="0"/>
        <w:tabs>
          <w:tab w:val="left" w:pos="5911"/>
        </w:tabs>
        <w:ind w:left="-15"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p>
    <w:p w14:paraId="62D10251">
      <w:pPr>
        <w:widowControl w:val="0"/>
        <w:tabs>
          <w:tab w:val="left" w:pos="5911"/>
        </w:tabs>
        <w:ind w:left="-15" w:firstLine="567"/>
        <w:jc w:val="both"/>
        <w:rPr>
          <w:rFonts w:ascii="Times New Roman" w:hAnsi="Times New Roman" w:eastAsia="PT Astra Serif" w:cs="Times New Roman"/>
          <w:color w:val="000000" w:themeColor="text1"/>
          <w:sz w:val="24"/>
          <w:szCs w:val="24"/>
          <w:highlight w:val="none"/>
          <w14:textFill>
            <w14:solidFill>
              <w14:schemeClr w14:val="tx1"/>
            </w14:solidFill>
          </w14:textFill>
        </w:rPr>
      </w:pPr>
    </w:p>
    <w:p w14:paraId="6E03B94A">
      <w:pPr>
        <w:widowControl w:val="0"/>
        <w:ind w:left="-15" w:firstLine="556"/>
        <w:jc w:val="both"/>
        <w:rPr>
          <w:rFonts w:ascii="Times New Roman" w:hAnsi="Times New Roman" w:eastAsia="PT Astra Serif" w:cs="Times New Roman"/>
          <w:color w:val="000000" w:themeColor="text1"/>
          <w:sz w:val="24"/>
          <w:szCs w:val="24"/>
          <w:highlight w:val="none"/>
          <w14:textFill>
            <w14:solidFill>
              <w14:schemeClr w14:val="tx1"/>
            </w14:solidFill>
          </w14:textFill>
        </w:rPr>
      </w:pPr>
    </w:p>
    <w:p w14:paraId="43787035">
      <w:pPr>
        <w:ind w:left="5387"/>
        <w:jc w:val="right"/>
        <w:rPr>
          <w:rFonts w:ascii="Times New Roman" w:hAnsi="Times New Roman" w:cs="Times New Roman"/>
          <w:b/>
          <w:sz w:val="24"/>
          <w:szCs w:val="24"/>
          <w:highlight w:val="none"/>
        </w:rPr>
      </w:pPr>
      <w:r>
        <w:rPr>
          <w:rFonts w:ascii="Times New Roman" w:hAnsi="Times New Roman" w:cs="Times New Roman"/>
          <w:b/>
          <w:sz w:val="24"/>
          <w:szCs w:val="24"/>
          <w:highlight w:val="none"/>
        </w:rPr>
        <w:t>Приложение № 1</w:t>
      </w:r>
    </w:p>
    <w:p w14:paraId="277E89E0">
      <w:pPr>
        <w:ind w:left="5387"/>
        <w:jc w:val="right"/>
        <w:rPr>
          <w:rFonts w:ascii="Times New Roman" w:hAnsi="Times New Roman" w:cs="Times New Roman"/>
          <w:sz w:val="24"/>
          <w:szCs w:val="24"/>
          <w:highlight w:val="none"/>
        </w:rPr>
      </w:pPr>
      <w:r>
        <w:rPr>
          <w:rFonts w:ascii="Times New Roman" w:hAnsi="Times New Roman" w:cs="Times New Roman"/>
          <w:sz w:val="24"/>
          <w:szCs w:val="24"/>
          <w:highlight w:val="none"/>
        </w:rPr>
        <w:t xml:space="preserve">к муниципальному контракту </w:t>
      </w:r>
    </w:p>
    <w:p w14:paraId="1B184CCB">
      <w:pPr>
        <w:jc w:val="right"/>
        <w:rPr>
          <w:rFonts w:ascii="Times New Roman" w:hAnsi="Times New Roman" w:cs="Times New Roman"/>
          <w:sz w:val="24"/>
          <w:szCs w:val="24"/>
          <w:highlight w:val="none"/>
        </w:rPr>
      </w:pPr>
      <w:r>
        <w:rPr>
          <w:rFonts w:ascii="Times New Roman" w:hAnsi="Times New Roman" w:cs="Times New Roman"/>
          <w:sz w:val="24"/>
          <w:szCs w:val="24"/>
          <w:highlight w:val="none"/>
        </w:rPr>
        <w:t xml:space="preserve">от </w:t>
      </w:r>
      <w:r>
        <w:rPr>
          <w:rFonts w:hint="default" w:ascii="Times New Roman" w:hAnsi="Times New Roman" w:cs="Times New Roman"/>
          <w:sz w:val="24"/>
          <w:szCs w:val="24"/>
          <w:highlight w:val="none"/>
          <w:lang w:val="ru-RU"/>
        </w:rPr>
        <w:t xml:space="preserve">05.05.25г. </w:t>
      </w:r>
      <w:r>
        <w:rPr>
          <w:rFonts w:ascii="Times New Roman" w:hAnsi="Times New Roman" w:cs="Times New Roman"/>
          <w:sz w:val="24"/>
          <w:szCs w:val="24"/>
          <w:highlight w:val="none"/>
        </w:rPr>
        <w:t>№ ОК-25/005</w:t>
      </w:r>
    </w:p>
    <w:p w14:paraId="18F462F3">
      <w:pPr>
        <w:jc w:val="right"/>
        <w:rPr>
          <w:rFonts w:ascii="Times New Roman" w:hAnsi="Times New Roman" w:cs="Times New Roman"/>
          <w:sz w:val="24"/>
          <w:szCs w:val="24"/>
          <w:highlight w:val="none"/>
        </w:rPr>
      </w:pPr>
    </w:p>
    <w:p w14:paraId="7D79E7C7">
      <w:pPr>
        <w:jc w:val="center"/>
        <w:rPr>
          <w:rFonts w:ascii="Times New Roman" w:hAnsi="Times New Roman" w:cs="Times New Roman"/>
          <w:sz w:val="24"/>
          <w:szCs w:val="24"/>
          <w:highlight w:val="none"/>
        </w:rPr>
      </w:pPr>
      <w:r>
        <w:rPr>
          <w:rFonts w:ascii="Times New Roman" w:hAnsi="Times New Roman" w:cs="Times New Roman"/>
          <w:b/>
          <w:sz w:val="24"/>
          <w:szCs w:val="24"/>
          <w:highlight w:val="none"/>
        </w:rPr>
        <w:t>ГРАФИК ВЫПОЛНЕНИЯ РАБОТ ПО ОБЪЕКТУ:</w:t>
      </w:r>
    </w:p>
    <w:p w14:paraId="5E890556">
      <w:pPr>
        <w:rPr>
          <w:rFonts w:ascii="Times New Roman" w:hAnsi="Times New Roman" w:cs="Times New Roman"/>
          <w:sz w:val="24"/>
          <w:szCs w:val="24"/>
          <w:highlight w:val="none"/>
        </w:rPr>
      </w:pPr>
      <w:r>
        <w:rPr>
          <w:rFonts w:ascii="Times New Roman" w:hAnsi="Times New Roman" w:cs="Times New Roman"/>
          <w:sz w:val="24"/>
          <w:szCs w:val="24"/>
          <w:highlight w:val="none"/>
        </w:rPr>
        <w:t>Строительство дошкольного образовательного учреждения №1 на 140 мест в микрорайоне Южный г. Дербента</w:t>
      </w:r>
    </w:p>
    <w:tbl>
      <w:tblPr>
        <w:tblStyle w:val="9"/>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0"/>
        <w:gridCol w:w="3103"/>
        <w:gridCol w:w="1893"/>
        <w:gridCol w:w="2785"/>
      </w:tblGrid>
      <w:tr w14:paraId="2EB2C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0" w:type="dxa"/>
            <w:shd w:val="clear" w:color="auto" w:fill="auto"/>
            <w:vAlign w:val="center"/>
          </w:tcPr>
          <w:p w14:paraId="3BA6058B">
            <w:pPr>
              <w:jc w:val="both"/>
              <w:rPr>
                <w:rFonts w:ascii="Times New Roman" w:hAnsi="Times New Roman" w:cs="Times New Roman"/>
                <w:sz w:val="24"/>
                <w:szCs w:val="24"/>
                <w:highlight w:val="none"/>
              </w:rPr>
            </w:pPr>
            <w:r>
              <w:rPr>
                <w:rFonts w:ascii="Times New Roman" w:hAnsi="Times New Roman" w:cs="Times New Roman"/>
                <w:sz w:val="24"/>
                <w:szCs w:val="24"/>
                <w:highlight w:val="none"/>
              </w:rPr>
              <w:t>Порядковый номер этапа выполнения контракта и (или) комплекса работ и (или) вида работ и (или) части работ отдельного вида работ</w:t>
            </w:r>
          </w:p>
          <w:p w14:paraId="2490E5BC">
            <w:pPr>
              <w:jc w:val="both"/>
              <w:rPr>
                <w:rFonts w:ascii="Times New Roman" w:hAnsi="Times New Roman" w:cs="Times New Roman"/>
                <w:sz w:val="24"/>
                <w:szCs w:val="24"/>
                <w:highlight w:val="none"/>
              </w:rPr>
            </w:pPr>
          </w:p>
        </w:tc>
        <w:tc>
          <w:tcPr>
            <w:tcW w:w="3103" w:type="dxa"/>
            <w:shd w:val="clear" w:color="auto" w:fill="auto"/>
            <w:vAlign w:val="center"/>
          </w:tcPr>
          <w:p w14:paraId="799A5760">
            <w:pPr>
              <w:jc w:val="both"/>
              <w:rPr>
                <w:rFonts w:ascii="Times New Roman" w:hAnsi="Times New Roman" w:cs="Times New Roman"/>
                <w:sz w:val="24"/>
                <w:szCs w:val="24"/>
                <w:highlight w:val="none"/>
              </w:rPr>
            </w:pPr>
            <w:r>
              <w:rPr>
                <w:rFonts w:ascii="Times New Roman" w:hAnsi="Times New Roman" w:cs="Times New Roman"/>
                <w:sz w:val="24"/>
                <w:szCs w:val="24"/>
                <w:highlight w:val="none"/>
              </w:rPr>
              <w:t>Наименование этапа выполнения контракта и (или) комплекса работ и (или) вида работ и (или) части работ отдельного вида работ</w:t>
            </w:r>
          </w:p>
          <w:p w14:paraId="757D8CCC">
            <w:pPr>
              <w:jc w:val="both"/>
              <w:rPr>
                <w:rFonts w:ascii="Times New Roman" w:hAnsi="Times New Roman" w:cs="Times New Roman"/>
                <w:sz w:val="24"/>
                <w:szCs w:val="24"/>
                <w:highlight w:val="none"/>
              </w:rPr>
            </w:pPr>
          </w:p>
        </w:tc>
        <w:tc>
          <w:tcPr>
            <w:tcW w:w="1893" w:type="dxa"/>
            <w:shd w:val="clear" w:color="auto" w:fill="auto"/>
            <w:vAlign w:val="center"/>
          </w:tcPr>
          <w:p w14:paraId="6E0992A4">
            <w:pPr>
              <w:jc w:val="both"/>
              <w:rPr>
                <w:rFonts w:ascii="Times New Roman" w:hAnsi="Times New Roman" w:cs="Times New Roman"/>
                <w:sz w:val="24"/>
                <w:szCs w:val="24"/>
                <w:highlight w:val="none"/>
              </w:rPr>
            </w:pPr>
            <w:r>
              <w:rPr>
                <w:rFonts w:ascii="Times New Roman" w:hAnsi="Times New Roman" w:cs="Times New Roman"/>
                <w:sz w:val="24"/>
                <w:szCs w:val="24"/>
                <w:highlight w:val="none"/>
              </w:rPr>
              <w:t>Сроки исполнения этапа выполнения контракта и (или) комплекса работ и (или) вида работ и (или) части работ отдельного вида работ (дней от начала работ)</w:t>
            </w:r>
          </w:p>
          <w:p w14:paraId="57144AB1">
            <w:pPr>
              <w:jc w:val="both"/>
              <w:rPr>
                <w:rFonts w:ascii="Times New Roman" w:hAnsi="Times New Roman" w:cs="Times New Roman"/>
                <w:sz w:val="24"/>
                <w:szCs w:val="24"/>
                <w:highlight w:val="none"/>
              </w:rPr>
            </w:pPr>
          </w:p>
        </w:tc>
        <w:tc>
          <w:tcPr>
            <w:tcW w:w="2785" w:type="dxa"/>
            <w:shd w:val="clear" w:color="auto" w:fill="auto"/>
            <w:vAlign w:val="center"/>
          </w:tcPr>
          <w:p w14:paraId="25E23B43">
            <w:pPr>
              <w:jc w:val="both"/>
              <w:rPr>
                <w:rFonts w:ascii="Times New Roman" w:hAnsi="Times New Roman" w:cs="Times New Roman"/>
                <w:sz w:val="24"/>
                <w:szCs w:val="24"/>
                <w:highlight w:val="none"/>
              </w:rPr>
            </w:pPr>
            <w:r>
              <w:rPr>
                <w:rFonts w:ascii="Times New Roman" w:hAnsi="Times New Roman" w:cs="Times New Roman"/>
                <w:sz w:val="24"/>
                <w:szCs w:val="24"/>
                <w:highlight w:val="none"/>
              </w:rPr>
              <w:t>Физический объем работ</w:t>
            </w:r>
          </w:p>
        </w:tc>
      </w:tr>
      <w:tr w14:paraId="00A1C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1570" w:type="dxa"/>
            <w:shd w:val="clear" w:color="auto" w:fill="auto"/>
          </w:tcPr>
          <w:p w14:paraId="57F6FBA4">
            <w:pPr>
              <w:jc w:val="both"/>
              <w:rPr>
                <w:rFonts w:ascii="Times New Roman" w:hAnsi="Times New Roman" w:cs="Times New Roman"/>
                <w:sz w:val="24"/>
                <w:szCs w:val="24"/>
                <w:highlight w:val="none"/>
              </w:rPr>
            </w:pPr>
            <w:r>
              <w:rPr>
                <w:rFonts w:ascii="Times New Roman" w:hAnsi="Times New Roman" w:cs="Times New Roman"/>
                <w:sz w:val="24"/>
                <w:szCs w:val="24"/>
                <w:highlight w:val="none"/>
              </w:rPr>
              <w:t>1</w:t>
            </w:r>
          </w:p>
        </w:tc>
        <w:tc>
          <w:tcPr>
            <w:tcW w:w="3103" w:type="dxa"/>
            <w:tcBorders>
              <w:bottom w:val="single" w:color="auto" w:sz="4" w:space="0"/>
            </w:tcBorders>
            <w:shd w:val="clear" w:color="auto" w:fill="auto"/>
          </w:tcPr>
          <w:p w14:paraId="1C321B2E">
            <w:pPr>
              <w:jc w:val="both"/>
              <w:rPr>
                <w:rFonts w:ascii="Times New Roman" w:hAnsi="Times New Roman" w:cs="Times New Roman"/>
                <w:sz w:val="24"/>
                <w:szCs w:val="24"/>
                <w:highlight w:val="none"/>
              </w:rPr>
            </w:pPr>
            <w:r>
              <w:rPr>
                <w:rFonts w:ascii="Times New Roman" w:hAnsi="Times New Roman" w:cs="Times New Roman"/>
                <w:sz w:val="24"/>
                <w:szCs w:val="24"/>
                <w:highlight w:val="none"/>
              </w:rPr>
              <w:t>2</w:t>
            </w:r>
          </w:p>
        </w:tc>
        <w:tc>
          <w:tcPr>
            <w:tcW w:w="1893" w:type="dxa"/>
            <w:shd w:val="clear" w:color="auto" w:fill="auto"/>
          </w:tcPr>
          <w:p w14:paraId="27D440A7">
            <w:pPr>
              <w:jc w:val="both"/>
              <w:rPr>
                <w:rFonts w:ascii="Times New Roman" w:hAnsi="Times New Roman" w:cs="Times New Roman"/>
                <w:sz w:val="24"/>
                <w:szCs w:val="24"/>
                <w:highlight w:val="none"/>
              </w:rPr>
            </w:pPr>
            <w:r>
              <w:rPr>
                <w:rFonts w:ascii="Times New Roman" w:hAnsi="Times New Roman" w:cs="Times New Roman"/>
                <w:sz w:val="24"/>
                <w:szCs w:val="24"/>
                <w:highlight w:val="none"/>
              </w:rPr>
              <w:t>3</w:t>
            </w:r>
          </w:p>
        </w:tc>
        <w:tc>
          <w:tcPr>
            <w:tcW w:w="2785" w:type="dxa"/>
            <w:shd w:val="clear" w:color="auto" w:fill="auto"/>
          </w:tcPr>
          <w:p w14:paraId="14A1DDCA">
            <w:pPr>
              <w:jc w:val="both"/>
              <w:rPr>
                <w:rFonts w:ascii="Times New Roman" w:hAnsi="Times New Roman" w:cs="Times New Roman"/>
                <w:sz w:val="24"/>
                <w:szCs w:val="24"/>
                <w:highlight w:val="none"/>
              </w:rPr>
            </w:pPr>
            <w:r>
              <w:rPr>
                <w:rFonts w:ascii="Times New Roman" w:hAnsi="Times New Roman" w:cs="Times New Roman"/>
                <w:sz w:val="24"/>
                <w:szCs w:val="24"/>
                <w:highlight w:val="none"/>
              </w:rPr>
              <w:t>4</w:t>
            </w:r>
          </w:p>
        </w:tc>
      </w:tr>
      <w:tr w14:paraId="723C1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1570" w:type="dxa"/>
            <w:shd w:val="clear" w:color="auto" w:fill="auto"/>
          </w:tcPr>
          <w:p w14:paraId="183A474A">
            <w:pPr>
              <w:jc w:val="center"/>
              <w:rPr>
                <w:rFonts w:ascii="Times New Roman" w:hAnsi="Times New Roman" w:cs="Times New Roman"/>
                <w:sz w:val="24"/>
                <w:szCs w:val="24"/>
                <w:highlight w:val="none"/>
              </w:rPr>
            </w:pPr>
            <w:r>
              <w:rPr>
                <w:rFonts w:ascii="Times New Roman" w:hAnsi="Times New Roman" w:cs="Times New Roman"/>
                <w:sz w:val="24"/>
                <w:szCs w:val="24"/>
                <w:highlight w:val="none"/>
              </w:rPr>
              <w:t>1</w:t>
            </w:r>
          </w:p>
        </w:tc>
        <w:tc>
          <w:tcPr>
            <w:tcW w:w="3103" w:type="dxa"/>
            <w:tcBorders>
              <w:top w:val="single" w:color="auto" w:sz="4" w:space="0"/>
              <w:left w:val="nil"/>
              <w:bottom w:val="single" w:color="auto" w:sz="4" w:space="0"/>
              <w:right w:val="nil"/>
            </w:tcBorders>
            <w:shd w:val="clear" w:color="auto" w:fill="auto"/>
            <w:vAlign w:val="center"/>
          </w:tcPr>
          <w:p w14:paraId="0F25BBF3">
            <w:pPr>
              <w:rPr>
                <w:rFonts w:ascii="Times New Roman" w:hAnsi="Times New Roman" w:cs="Times New Roman"/>
                <w:color w:val="000000"/>
                <w:sz w:val="24"/>
                <w:szCs w:val="24"/>
                <w:highlight w:val="none"/>
              </w:rPr>
            </w:pPr>
            <w:r>
              <w:rPr>
                <w:rFonts w:ascii="Times New Roman" w:hAnsi="Times New Roman" w:cs="Times New Roman"/>
                <w:color w:val="000000"/>
                <w:sz w:val="24"/>
                <w:szCs w:val="24"/>
                <w:highlight w:val="none"/>
              </w:rPr>
              <w:t>Здание детского Сада</w:t>
            </w:r>
          </w:p>
        </w:tc>
        <w:tc>
          <w:tcPr>
            <w:tcW w:w="1893" w:type="dxa"/>
            <w:shd w:val="clear" w:color="auto" w:fill="auto"/>
          </w:tcPr>
          <w:p w14:paraId="0E7395D3">
            <w:pPr>
              <w:jc w:val="both"/>
              <w:rPr>
                <w:rFonts w:ascii="Times New Roman" w:hAnsi="Times New Roman" w:cs="Times New Roman"/>
                <w:sz w:val="24"/>
                <w:szCs w:val="24"/>
                <w:highlight w:val="none"/>
              </w:rPr>
            </w:pPr>
            <w:r>
              <w:rPr>
                <w:rFonts w:ascii="Times New Roman" w:hAnsi="Times New Roman" w:cs="Times New Roman"/>
                <w:sz w:val="24"/>
                <w:szCs w:val="24"/>
                <w:highlight w:val="none"/>
              </w:rPr>
              <w:t>500</w:t>
            </w:r>
          </w:p>
        </w:tc>
        <w:tc>
          <w:tcPr>
            <w:tcW w:w="2785" w:type="dxa"/>
            <w:shd w:val="clear" w:color="auto" w:fill="auto"/>
          </w:tcPr>
          <w:p w14:paraId="2A085DA5">
            <w:pPr>
              <w:jc w:val="both"/>
              <w:rPr>
                <w:rFonts w:ascii="Times New Roman" w:hAnsi="Times New Roman" w:cs="Times New Roman"/>
                <w:sz w:val="24"/>
                <w:szCs w:val="24"/>
                <w:highlight w:val="none"/>
              </w:rPr>
            </w:pPr>
            <w:r>
              <w:rPr>
                <w:rFonts w:ascii="Times New Roman" w:hAnsi="Times New Roman" w:cs="Times New Roman"/>
                <w:sz w:val="24"/>
                <w:szCs w:val="24"/>
                <w:highlight w:val="none"/>
              </w:rPr>
              <w:t>согласно локально-сметному расчету № 02-01</w:t>
            </w:r>
          </w:p>
        </w:tc>
      </w:tr>
      <w:tr w14:paraId="5B403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570" w:type="dxa"/>
            <w:shd w:val="clear" w:color="auto" w:fill="auto"/>
          </w:tcPr>
          <w:p w14:paraId="453BCC82">
            <w:pPr>
              <w:jc w:val="center"/>
              <w:rPr>
                <w:rFonts w:ascii="Times New Roman" w:hAnsi="Times New Roman" w:cs="Times New Roman"/>
                <w:sz w:val="24"/>
                <w:szCs w:val="24"/>
                <w:highlight w:val="none"/>
              </w:rPr>
            </w:pPr>
            <w:r>
              <w:rPr>
                <w:rFonts w:ascii="Times New Roman" w:hAnsi="Times New Roman" w:cs="Times New Roman"/>
                <w:sz w:val="24"/>
                <w:szCs w:val="24"/>
                <w:highlight w:val="none"/>
              </w:rPr>
              <w:t>2</w:t>
            </w:r>
          </w:p>
        </w:tc>
        <w:tc>
          <w:tcPr>
            <w:tcW w:w="3103" w:type="dxa"/>
            <w:tcBorders>
              <w:top w:val="single" w:color="auto" w:sz="4" w:space="0"/>
              <w:left w:val="nil"/>
              <w:bottom w:val="single" w:color="auto" w:sz="4" w:space="0"/>
              <w:right w:val="nil"/>
            </w:tcBorders>
            <w:shd w:val="clear" w:color="auto" w:fill="auto"/>
          </w:tcPr>
          <w:p w14:paraId="5B094927">
            <w:pPr>
              <w:rPr>
                <w:rFonts w:ascii="Times New Roman" w:hAnsi="Times New Roman" w:cs="Times New Roman"/>
                <w:color w:val="000000"/>
                <w:sz w:val="24"/>
                <w:szCs w:val="24"/>
                <w:highlight w:val="none"/>
              </w:rPr>
            </w:pPr>
            <w:r>
              <w:rPr>
                <w:rFonts w:ascii="Times New Roman" w:hAnsi="Times New Roman" w:cs="Times New Roman"/>
                <w:color w:val="000000"/>
                <w:sz w:val="24"/>
                <w:szCs w:val="24"/>
                <w:highlight w:val="none"/>
              </w:rPr>
              <w:t>Наружные сети электроснабжения</w:t>
            </w:r>
          </w:p>
        </w:tc>
        <w:tc>
          <w:tcPr>
            <w:tcW w:w="1893" w:type="dxa"/>
            <w:shd w:val="clear" w:color="auto" w:fill="auto"/>
          </w:tcPr>
          <w:p w14:paraId="51158BDB">
            <w:pPr>
              <w:jc w:val="both"/>
              <w:rPr>
                <w:rFonts w:ascii="Times New Roman" w:hAnsi="Times New Roman" w:cs="Times New Roman"/>
                <w:sz w:val="24"/>
                <w:szCs w:val="24"/>
                <w:highlight w:val="none"/>
              </w:rPr>
            </w:pPr>
            <w:r>
              <w:rPr>
                <w:rFonts w:ascii="Times New Roman" w:hAnsi="Times New Roman" w:cs="Times New Roman"/>
                <w:sz w:val="24"/>
                <w:szCs w:val="24"/>
                <w:highlight w:val="none"/>
              </w:rPr>
              <w:t>600 дней</w:t>
            </w:r>
          </w:p>
        </w:tc>
        <w:tc>
          <w:tcPr>
            <w:tcW w:w="2785" w:type="dxa"/>
            <w:shd w:val="clear" w:color="auto" w:fill="auto"/>
          </w:tcPr>
          <w:p w14:paraId="7515D8E5">
            <w:pPr>
              <w:jc w:val="both"/>
              <w:rPr>
                <w:rFonts w:ascii="Times New Roman" w:hAnsi="Times New Roman" w:cs="Times New Roman"/>
                <w:sz w:val="24"/>
                <w:szCs w:val="24"/>
                <w:highlight w:val="none"/>
              </w:rPr>
            </w:pPr>
            <w:r>
              <w:rPr>
                <w:rFonts w:ascii="Times New Roman" w:hAnsi="Times New Roman" w:cs="Times New Roman"/>
                <w:sz w:val="24"/>
                <w:szCs w:val="24"/>
                <w:highlight w:val="none"/>
              </w:rPr>
              <w:t>согласно локально-сметному расчету № 04-01</w:t>
            </w:r>
          </w:p>
        </w:tc>
      </w:tr>
      <w:tr w14:paraId="78891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0" w:type="dxa"/>
            <w:shd w:val="clear" w:color="auto" w:fill="auto"/>
          </w:tcPr>
          <w:p w14:paraId="2F6864FE">
            <w:pPr>
              <w:jc w:val="center"/>
              <w:rPr>
                <w:rFonts w:ascii="Times New Roman" w:hAnsi="Times New Roman" w:cs="Times New Roman"/>
                <w:sz w:val="24"/>
                <w:szCs w:val="24"/>
                <w:highlight w:val="none"/>
              </w:rPr>
            </w:pPr>
            <w:r>
              <w:rPr>
                <w:rFonts w:ascii="Times New Roman" w:hAnsi="Times New Roman" w:cs="Times New Roman"/>
                <w:sz w:val="24"/>
                <w:szCs w:val="24"/>
                <w:highlight w:val="none"/>
              </w:rPr>
              <w:t>3</w:t>
            </w:r>
          </w:p>
        </w:tc>
        <w:tc>
          <w:tcPr>
            <w:tcW w:w="3103" w:type="dxa"/>
            <w:tcBorders>
              <w:top w:val="single" w:color="auto" w:sz="4" w:space="0"/>
              <w:left w:val="nil"/>
              <w:bottom w:val="single" w:color="auto" w:sz="4" w:space="0"/>
              <w:right w:val="nil"/>
            </w:tcBorders>
            <w:shd w:val="clear" w:color="auto" w:fill="auto"/>
          </w:tcPr>
          <w:p w14:paraId="7B596AFA">
            <w:pPr>
              <w:rPr>
                <w:rFonts w:ascii="Times New Roman" w:hAnsi="Times New Roman" w:cs="Times New Roman"/>
                <w:color w:val="000000"/>
                <w:sz w:val="24"/>
                <w:szCs w:val="24"/>
                <w:highlight w:val="none"/>
              </w:rPr>
            </w:pPr>
            <w:r>
              <w:rPr>
                <w:rFonts w:ascii="Times New Roman" w:hAnsi="Times New Roman" w:cs="Times New Roman"/>
                <w:color w:val="000000"/>
                <w:sz w:val="24"/>
                <w:szCs w:val="24"/>
                <w:highlight w:val="none"/>
              </w:rPr>
              <w:t>Внутриплощадочные сети водоснабжения</w:t>
            </w:r>
          </w:p>
        </w:tc>
        <w:tc>
          <w:tcPr>
            <w:tcW w:w="1893" w:type="dxa"/>
            <w:shd w:val="clear" w:color="auto" w:fill="auto"/>
          </w:tcPr>
          <w:p w14:paraId="2D782363">
            <w:pPr>
              <w:jc w:val="both"/>
              <w:rPr>
                <w:rFonts w:ascii="Times New Roman" w:hAnsi="Times New Roman" w:cs="Times New Roman"/>
                <w:sz w:val="24"/>
                <w:szCs w:val="24"/>
                <w:highlight w:val="none"/>
                <w:lang w:val="en-US"/>
              </w:rPr>
            </w:pPr>
            <w:r>
              <w:rPr>
                <w:rFonts w:ascii="Times New Roman" w:hAnsi="Times New Roman" w:cs="Times New Roman"/>
                <w:sz w:val="24"/>
                <w:szCs w:val="24"/>
                <w:highlight w:val="none"/>
              </w:rPr>
              <w:t>600</w:t>
            </w:r>
            <w:r>
              <w:rPr>
                <w:rFonts w:ascii="Times New Roman" w:hAnsi="Times New Roman" w:cs="Times New Roman"/>
                <w:sz w:val="24"/>
                <w:szCs w:val="24"/>
                <w:highlight w:val="none"/>
                <w:lang w:val="en-US"/>
              </w:rPr>
              <w:t xml:space="preserve"> дней</w:t>
            </w:r>
          </w:p>
        </w:tc>
        <w:tc>
          <w:tcPr>
            <w:tcW w:w="2785" w:type="dxa"/>
            <w:shd w:val="clear" w:color="auto" w:fill="auto"/>
          </w:tcPr>
          <w:p w14:paraId="7FA1841B">
            <w:pPr>
              <w:jc w:val="both"/>
              <w:rPr>
                <w:rFonts w:ascii="Times New Roman" w:hAnsi="Times New Roman" w:cs="Times New Roman"/>
                <w:sz w:val="24"/>
                <w:szCs w:val="24"/>
                <w:highlight w:val="none"/>
              </w:rPr>
            </w:pPr>
            <w:r>
              <w:rPr>
                <w:rFonts w:ascii="Times New Roman" w:hAnsi="Times New Roman" w:cs="Times New Roman"/>
                <w:sz w:val="24"/>
                <w:szCs w:val="24"/>
                <w:highlight w:val="none"/>
              </w:rPr>
              <w:t>согласно локально-сметному расчету № 06-01</w:t>
            </w:r>
          </w:p>
        </w:tc>
      </w:tr>
      <w:tr w14:paraId="50FDD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0" w:type="dxa"/>
            <w:shd w:val="clear" w:color="auto" w:fill="auto"/>
          </w:tcPr>
          <w:p w14:paraId="7C98595F">
            <w:pPr>
              <w:jc w:val="center"/>
              <w:rPr>
                <w:rFonts w:ascii="Times New Roman" w:hAnsi="Times New Roman" w:cs="Times New Roman"/>
                <w:sz w:val="24"/>
                <w:szCs w:val="24"/>
                <w:highlight w:val="none"/>
              </w:rPr>
            </w:pPr>
            <w:r>
              <w:rPr>
                <w:rFonts w:ascii="Times New Roman" w:hAnsi="Times New Roman" w:cs="Times New Roman"/>
                <w:sz w:val="24"/>
                <w:szCs w:val="24"/>
                <w:highlight w:val="none"/>
              </w:rPr>
              <w:t>4</w:t>
            </w:r>
          </w:p>
        </w:tc>
        <w:tc>
          <w:tcPr>
            <w:tcW w:w="3103" w:type="dxa"/>
            <w:tcBorders>
              <w:top w:val="single" w:color="auto" w:sz="4" w:space="0"/>
              <w:left w:val="nil"/>
              <w:bottom w:val="single" w:color="auto" w:sz="4" w:space="0"/>
              <w:right w:val="nil"/>
            </w:tcBorders>
            <w:shd w:val="clear" w:color="auto" w:fill="auto"/>
          </w:tcPr>
          <w:p w14:paraId="447DFC07">
            <w:pPr>
              <w:rPr>
                <w:rFonts w:ascii="Times New Roman" w:hAnsi="Times New Roman" w:cs="Times New Roman"/>
                <w:color w:val="000000"/>
                <w:sz w:val="24"/>
                <w:szCs w:val="24"/>
                <w:highlight w:val="none"/>
              </w:rPr>
            </w:pPr>
            <w:r>
              <w:rPr>
                <w:rFonts w:ascii="Times New Roman" w:hAnsi="Times New Roman" w:cs="Times New Roman"/>
                <w:color w:val="000000"/>
                <w:sz w:val="24"/>
                <w:szCs w:val="24"/>
                <w:highlight w:val="none"/>
              </w:rPr>
              <w:t>Внутриплощадочные сети канализации</w:t>
            </w:r>
          </w:p>
        </w:tc>
        <w:tc>
          <w:tcPr>
            <w:tcW w:w="1893" w:type="dxa"/>
            <w:shd w:val="clear" w:color="auto" w:fill="auto"/>
          </w:tcPr>
          <w:p w14:paraId="31239D3D">
            <w:pPr>
              <w:jc w:val="both"/>
              <w:rPr>
                <w:rFonts w:ascii="Times New Roman" w:hAnsi="Times New Roman" w:cs="Times New Roman"/>
                <w:sz w:val="24"/>
                <w:szCs w:val="24"/>
                <w:highlight w:val="none"/>
              </w:rPr>
            </w:pPr>
            <w:r>
              <w:rPr>
                <w:rFonts w:ascii="Times New Roman" w:hAnsi="Times New Roman" w:cs="Times New Roman"/>
                <w:sz w:val="24"/>
                <w:szCs w:val="24"/>
                <w:highlight w:val="none"/>
              </w:rPr>
              <w:t>650 дней</w:t>
            </w:r>
          </w:p>
        </w:tc>
        <w:tc>
          <w:tcPr>
            <w:tcW w:w="2785" w:type="dxa"/>
            <w:shd w:val="clear" w:color="auto" w:fill="auto"/>
          </w:tcPr>
          <w:p w14:paraId="00380529">
            <w:pPr>
              <w:jc w:val="both"/>
              <w:rPr>
                <w:rFonts w:ascii="Times New Roman" w:hAnsi="Times New Roman" w:cs="Times New Roman"/>
                <w:sz w:val="24"/>
                <w:szCs w:val="24"/>
                <w:highlight w:val="none"/>
              </w:rPr>
            </w:pPr>
            <w:r>
              <w:rPr>
                <w:rFonts w:ascii="Times New Roman" w:hAnsi="Times New Roman" w:cs="Times New Roman"/>
                <w:sz w:val="24"/>
                <w:szCs w:val="24"/>
                <w:highlight w:val="none"/>
              </w:rPr>
              <w:t>согласно локально-сметному расчету № 06-02</w:t>
            </w:r>
          </w:p>
        </w:tc>
      </w:tr>
      <w:tr w14:paraId="797B5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0" w:type="dxa"/>
            <w:shd w:val="clear" w:color="auto" w:fill="auto"/>
          </w:tcPr>
          <w:p w14:paraId="4106F076">
            <w:pPr>
              <w:jc w:val="center"/>
              <w:rPr>
                <w:rFonts w:ascii="Times New Roman" w:hAnsi="Times New Roman" w:cs="Times New Roman"/>
                <w:sz w:val="24"/>
                <w:szCs w:val="24"/>
                <w:highlight w:val="none"/>
              </w:rPr>
            </w:pPr>
            <w:r>
              <w:rPr>
                <w:rFonts w:ascii="Times New Roman" w:hAnsi="Times New Roman" w:cs="Times New Roman"/>
                <w:sz w:val="24"/>
                <w:szCs w:val="24"/>
                <w:highlight w:val="none"/>
              </w:rPr>
              <w:t>5</w:t>
            </w:r>
          </w:p>
        </w:tc>
        <w:tc>
          <w:tcPr>
            <w:tcW w:w="3103" w:type="dxa"/>
            <w:tcBorders>
              <w:top w:val="single" w:color="auto" w:sz="4" w:space="0"/>
              <w:left w:val="nil"/>
              <w:bottom w:val="single" w:color="auto" w:sz="4" w:space="0"/>
              <w:right w:val="nil"/>
            </w:tcBorders>
            <w:shd w:val="clear" w:color="auto" w:fill="auto"/>
          </w:tcPr>
          <w:p w14:paraId="012139A0">
            <w:pPr>
              <w:rPr>
                <w:rFonts w:ascii="Times New Roman" w:hAnsi="Times New Roman" w:cs="Times New Roman"/>
                <w:color w:val="000000"/>
                <w:sz w:val="24"/>
                <w:szCs w:val="24"/>
                <w:highlight w:val="none"/>
              </w:rPr>
            </w:pPr>
            <w:r>
              <w:rPr>
                <w:rFonts w:ascii="Times New Roman" w:hAnsi="Times New Roman" w:cs="Times New Roman"/>
                <w:color w:val="000000"/>
                <w:sz w:val="24"/>
                <w:szCs w:val="24"/>
                <w:highlight w:val="none"/>
              </w:rPr>
              <w:t>Наружные сети газоснабжения</w:t>
            </w:r>
          </w:p>
        </w:tc>
        <w:tc>
          <w:tcPr>
            <w:tcW w:w="1893" w:type="dxa"/>
            <w:shd w:val="clear" w:color="auto" w:fill="auto"/>
          </w:tcPr>
          <w:p w14:paraId="316C3BB2">
            <w:pPr>
              <w:jc w:val="both"/>
              <w:rPr>
                <w:rFonts w:ascii="Times New Roman" w:hAnsi="Times New Roman" w:cs="Times New Roman"/>
                <w:sz w:val="24"/>
                <w:szCs w:val="24"/>
                <w:highlight w:val="none"/>
              </w:rPr>
            </w:pPr>
            <w:r>
              <w:rPr>
                <w:rFonts w:ascii="Times New Roman" w:hAnsi="Times New Roman" w:cs="Times New Roman"/>
                <w:sz w:val="24"/>
                <w:szCs w:val="24"/>
                <w:highlight w:val="none"/>
              </w:rPr>
              <w:t>700 дней</w:t>
            </w:r>
          </w:p>
        </w:tc>
        <w:tc>
          <w:tcPr>
            <w:tcW w:w="2785" w:type="dxa"/>
            <w:shd w:val="clear" w:color="auto" w:fill="auto"/>
          </w:tcPr>
          <w:p w14:paraId="0A439A01">
            <w:pPr>
              <w:jc w:val="both"/>
              <w:rPr>
                <w:rFonts w:ascii="Times New Roman" w:hAnsi="Times New Roman" w:cs="Times New Roman"/>
                <w:sz w:val="24"/>
                <w:szCs w:val="24"/>
                <w:highlight w:val="none"/>
              </w:rPr>
            </w:pPr>
            <w:r>
              <w:rPr>
                <w:rFonts w:ascii="Times New Roman" w:hAnsi="Times New Roman" w:cs="Times New Roman"/>
                <w:sz w:val="24"/>
                <w:szCs w:val="24"/>
                <w:highlight w:val="none"/>
              </w:rPr>
              <w:t>согласно локально-сметному расчету № 06-03</w:t>
            </w:r>
          </w:p>
        </w:tc>
      </w:tr>
      <w:tr w14:paraId="6F6C4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0" w:type="dxa"/>
            <w:shd w:val="clear" w:color="auto" w:fill="auto"/>
          </w:tcPr>
          <w:p w14:paraId="40D71BD3">
            <w:pPr>
              <w:jc w:val="center"/>
              <w:rPr>
                <w:rFonts w:ascii="Times New Roman" w:hAnsi="Times New Roman" w:cs="Times New Roman"/>
                <w:sz w:val="24"/>
                <w:szCs w:val="24"/>
                <w:highlight w:val="none"/>
              </w:rPr>
            </w:pPr>
            <w:r>
              <w:rPr>
                <w:rFonts w:ascii="Times New Roman" w:hAnsi="Times New Roman" w:cs="Times New Roman"/>
                <w:sz w:val="24"/>
                <w:szCs w:val="24"/>
                <w:highlight w:val="none"/>
              </w:rPr>
              <w:t>6</w:t>
            </w:r>
          </w:p>
        </w:tc>
        <w:tc>
          <w:tcPr>
            <w:tcW w:w="3103" w:type="dxa"/>
            <w:tcBorders>
              <w:top w:val="single" w:color="auto" w:sz="4" w:space="0"/>
              <w:left w:val="nil"/>
              <w:bottom w:val="single" w:color="auto" w:sz="4" w:space="0"/>
              <w:right w:val="nil"/>
            </w:tcBorders>
            <w:shd w:val="clear" w:color="auto" w:fill="auto"/>
          </w:tcPr>
          <w:p w14:paraId="29E52977">
            <w:pPr>
              <w:rPr>
                <w:rFonts w:ascii="Times New Roman" w:hAnsi="Times New Roman" w:cs="Times New Roman"/>
                <w:color w:val="000000"/>
                <w:sz w:val="24"/>
                <w:szCs w:val="24"/>
                <w:highlight w:val="none"/>
              </w:rPr>
            </w:pPr>
            <w:r>
              <w:rPr>
                <w:rFonts w:ascii="Times New Roman" w:hAnsi="Times New Roman" w:cs="Times New Roman"/>
                <w:color w:val="000000"/>
                <w:sz w:val="24"/>
                <w:szCs w:val="24"/>
                <w:highlight w:val="none"/>
              </w:rPr>
              <w:t>Тепловая сеть</w:t>
            </w:r>
          </w:p>
        </w:tc>
        <w:tc>
          <w:tcPr>
            <w:tcW w:w="1893" w:type="dxa"/>
            <w:shd w:val="clear" w:color="auto" w:fill="auto"/>
          </w:tcPr>
          <w:p w14:paraId="1643153C">
            <w:pPr>
              <w:jc w:val="both"/>
              <w:rPr>
                <w:rFonts w:ascii="Times New Roman" w:hAnsi="Times New Roman" w:cs="Times New Roman"/>
                <w:sz w:val="24"/>
                <w:szCs w:val="24"/>
                <w:highlight w:val="none"/>
              </w:rPr>
            </w:pPr>
            <w:r>
              <w:rPr>
                <w:rFonts w:ascii="Times New Roman" w:hAnsi="Times New Roman" w:cs="Times New Roman"/>
                <w:sz w:val="24"/>
                <w:szCs w:val="24"/>
                <w:highlight w:val="none"/>
              </w:rPr>
              <w:t>730 дней</w:t>
            </w:r>
          </w:p>
          <w:p w14:paraId="0BD2B828">
            <w:pPr>
              <w:jc w:val="both"/>
              <w:rPr>
                <w:rFonts w:ascii="Times New Roman" w:hAnsi="Times New Roman" w:cs="Times New Roman"/>
                <w:sz w:val="24"/>
                <w:szCs w:val="24"/>
                <w:highlight w:val="none"/>
              </w:rPr>
            </w:pPr>
          </w:p>
        </w:tc>
        <w:tc>
          <w:tcPr>
            <w:tcW w:w="2785" w:type="dxa"/>
            <w:shd w:val="clear" w:color="auto" w:fill="auto"/>
          </w:tcPr>
          <w:p w14:paraId="28523E70">
            <w:pPr>
              <w:jc w:val="both"/>
              <w:rPr>
                <w:rFonts w:ascii="Times New Roman" w:hAnsi="Times New Roman" w:cs="Times New Roman"/>
                <w:sz w:val="24"/>
                <w:szCs w:val="24"/>
                <w:highlight w:val="none"/>
              </w:rPr>
            </w:pPr>
            <w:r>
              <w:rPr>
                <w:rFonts w:ascii="Times New Roman" w:hAnsi="Times New Roman" w:cs="Times New Roman"/>
                <w:sz w:val="24"/>
                <w:szCs w:val="24"/>
                <w:highlight w:val="none"/>
              </w:rPr>
              <w:t>согласно локально-сметному расчету № 06-04</w:t>
            </w:r>
          </w:p>
          <w:p w14:paraId="1A86D631">
            <w:pPr>
              <w:jc w:val="both"/>
              <w:rPr>
                <w:rFonts w:ascii="Times New Roman" w:hAnsi="Times New Roman" w:cs="Times New Roman"/>
                <w:sz w:val="24"/>
                <w:szCs w:val="24"/>
                <w:highlight w:val="none"/>
              </w:rPr>
            </w:pPr>
          </w:p>
        </w:tc>
      </w:tr>
      <w:tr w14:paraId="5516B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0" w:type="dxa"/>
            <w:shd w:val="clear" w:color="auto" w:fill="auto"/>
          </w:tcPr>
          <w:p w14:paraId="197BEA46">
            <w:pPr>
              <w:jc w:val="center"/>
              <w:rPr>
                <w:rFonts w:ascii="Times New Roman" w:hAnsi="Times New Roman" w:cs="Times New Roman"/>
                <w:sz w:val="24"/>
                <w:szCs w:val="24"/>
                <w:highlight w:val="none"/>
              </w:rPr>
            </w:pPr>
            <w:r>
              <w:rPr>
                <w:rFonts w:ascii="Times New Roman" w:hAnsi="Times New Roman" w:cs="Times New Roman"/>
                <w:sz w:val="24"/>
                <w:szCs w:val="24"/>
                <w:highlight w:val="none"/>
              </w:rPr>
              <w:t>8</w:t>
            </w:r>
          </w:p>
        </w:tc>
        <w:tc>
          <w:tcPr>
            <w:tcW w:w="3103" w:type="dxa"/>
            <w:tcBorders>
              <w:top w:val="single" w:color="auto" w:sz="4" w:space="0"/>
              <w:left w:val="nil"/>
              <w:bottom w:val="single" w:color="auto" w:sz="4" w:space="0"/>
              <w:right w:val="nil"/>
            </w:tcBorders>
            <w:shd w:val="clear" w:color="auto" w:fill="auto"/>
          </w:tcPr>
          <w:p w14:paraId="321A5608">
            <w:pPr>
              <w:rPr>
                <w:rFonts w:ascii="Times New Roman" w:hAnsi="Times New Roman" w:cs="Times New Roman"/>
                <w:color w:val="000000"/>
                <w:sz w:val="24"/>
                <w:szCs w:val="24"/>
                <w:highlight w:val="none"/>
              </w:rPr>
            </w:pPr>
            <w:r>
              <w:rPr>
                <w:rFonts w:ascii="Times New Roman" w:hAnsi="Times New Roman" w:cs="Times New Roman"/>
                <w:color w:val="000000"/>
                <w:sz w:val="24"/>
                <w:szCs w:val="24"/>
                <w:highlight w:val="none"/>
              </w:rPr>
              <w:t>Блочно-модульная котельная</w:t>
            </w:r>
          </w:p>
        </w:tc>
        <w:tc>
          <w:tcPr>
            <w:tcW w:w="1893" w:type="dxa"/>
            <w:shd w:val="clear" w:color="auto" w:fill="auto"/>
          </w:tcPr>
          <w:p w14:paraId="16E7E55A">
            <w:pPr>
              <w:jc w:val="both"/>
              <w:rPr>
                <w:rFonts w:ascii="Times New Roman" w:hAnsi="Times New Roman" w:cs="Times New Roman"/>
                <w:sz w:val="24"/>
                <w:szCs w:val="24"/>
                <w:highlight w:val="none"/>
              </w:rPr>
            </w:pPr>
            <w:r>
              <w:rPr>
                <w:rFonts w:ascii="Times New Roman" w:hAnsi="Times New Roman" w:cs="Times New Roman"/>
                <w:sz w:val="24"/>
                <w:szCs w:val="24"/>
                <w:highlight w:val="none"/>
              </w:rPr>
              <w:t>800 дней</w:t>
            </w:r>
          </w:p>
        </w:tc>
        <w:tc>
          <w:tcPr>
            <w:tcW w:w="2785" w:type="dxa"/>
            <w:shd w:val="clear" w:color="auto" w:fill="auto"/>
          </w:tcPr>
          <w:p w14:paraId="742C178B">
            <w:pPr>
              <w:jc w:val="both"/>
              <w:rPr>
                <w:rFonts w:ascii="Times New Roman" w:hAnsi="Times New Roman" w:cs="Times New Roman"/>
                <w:sz w:val="24"/>
                <w:szCs w:val="24"/>
                <w:highlight w:val="none"/>
              </w:rPr>
            </w:pPr>
            <w:r>
              <w:rPr>
                <w:rFonts w:ascii="Times New Roman" w:hAnsi="Times New Roman" w:cs="Times New Roman"/>
                <w:sz w:val="24"/>
                <w:szCs w:val="24"/>
                <w:highlight w:val="none"/>
              </w:rPr>
              <w:t>согласно локально-сметному расчету № 06-05</w:t>
            </w:r>
          </w:p>
          <w:p w14:paraId="045B8A11">
            <w:pPr>
              <w:jc w:val="both"/>
              <w:rPr>
                <w:rFonts w:ascii="Times New Roman" w:hAnsi="Times New Roman" w:cs="Times New Roman"/>
                <w:sz w:val="24"/>
                <w:szCs w:val="24"/>
                <w:highlight w:val="none"/>
              </w:rPr>
            </w:pPr>
          </w:p>
        </w:tc>
      </w:tr>
      <w:tr w14:paraId="71216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0" w:type="dxa"/>
            <w:shd w:val="clear" w:color="auto" w:fill="auto"/>
          </w:tcPr>
          <w:p w14:paraId="1A71E571">
            <w:pPr>
              <w:jc w:val="center"/>
              <w:rPr>
                <w:rFonts w:ascii="Times New Roman" w:hAnsi="Times New Roman" w:cs="Times New Roman"/>
                <w:sz w:val="24"/>
                <w:szCs w:val="24"/>
                <w:highlight w:val="none"/>
              </w:rPr>
            </w:pPr>
            <w:r>
              <w:rPr>
                <w:rFonts w:ascii="Times New Roman" w:hAnsi="Times New Roman" w:cs="Times New Roman"/>
                <w:sz w:val="24"/>
                <w:szCs w:val="24"/>
                <w:highlight w:val="none"/>
              </w:rPr>
              <w:t>9</w:t>
            </w:r>
          </w:p>
        </w:tc>
        <w:tc>
          <w:tcPr>
            <w:tcW w:w="3103" w:type="dxa"/>
            <w:tcBorders>
              <w:top w:val="single" w:color="auto" w:sz="4" w:space="0"/>
              <w:left w:val="nil"/>
              <w:bottom w:val="single" w:color="auto" w:sz="4" w:space="0"/>
              <w:right w:val="nil"/>
            </w:tcBorders>
            <w:shd w:val="clear" w:color="auto" w:fill="auto"/>
          </w:tcPr>
          <w:p w14:paraId="56A607FB">
            <w:pPr>
              <w:rPr>
                <w:rFonts w:ascii="Times New Roman" w:hAnsi="Times New Roman" w:cs="Times New Roman"/>
                <w:color w:val="000000"/>
                <w:sz w:val="24"/>
                <w:szCs w:val="24"/>
                <w:highlight w:val="none"/>
              </w:rPr>
            </w:pPr>
            <w:r>
              <w:rPr>
                <w:rFonts w:ascii="Times New Roman" w:hAnsi="Times New Roman" w:cs="Times New Roman"/>
                <w:color w:val="000000"/>
                <w:sz w:val="24"/>
                <w:szCs w:val="24"/>
                <w:highlight w:val="none"/>
              </w:rPr>
              <w:t>Вертикальная планировка</w:t>
            </w:r>
          </w:p>
        </w:tc>
        <w:tc>
          <w:tcPr>
            <w:tcW w:w="1893" w:type="dxa"/>
            <w:shd w:val="clear" w:color="auto" w:fill="auto"/>
          </w:tcPr>
          <w:p w14:paraId="1C8202A6">
            <w:pPr>
              <w:jc w:val="both"/>
              <w:rPr>
                <w:rFonts w:ascii="Times New Roman" w:hAnsi="Times New Roman" w:cs="Times New Roman"/>
                <w:sz w:val="24"/>
                <w:szCs w:val="24"/>
                <w:highlight w:val="none"/>
              </w:rPr>
            </w:pPr>
            <w:r>
              <w:rPr>
                <w:rFonts w:ascii="Times New Roman" w:hAnsi="Times New Roman" w:cs="Times New Roman"/>
                <w:sz w:val="24"/>
                <w:szCs w:val="24"/>
                <w:highlight w:val="none"/>
              </w:rPr>
              <w:t>850 дней</w:t>
            </w:r>
          </w:p>
        </w:tc>
        <w:tc>
          <w:tcPr>
            <w:tcW w:w="2785" w:type="dxa"/>
            <w:shd w:val="clear" w:color="auto" w:fill="auto"/>
          </w:tcPr>
          <w:p w14:paraId="62F01D2F">
            <w:pPr>
              <w:jc w:val="both"/>
              <w:rPr>
                <w:rFonts w:ascii="Times New Roman" w:hAnsi="Times New Roman" w:cs="Times New Roman"/>
                <w:sz w:val="24"/>
                <w:szCs w:val="24"/>
                <w:highlight w:val="none"/>
              </w:rPr>
            </w:pPr>
            <w:r>
              <w:rPr>
                <w:rFonts w:ascii="Times New Roman" w:hAnsi="Times New Roman" w:cs="Times New Roman"/>
                <w:sz w:val="24"/>
                <w:szCs w:val="24"/>
                <w:highlight w:val="none"/>
              </w:rPr>
              <w:t>согласно локально-сметному расчету №07-01</w:t>
            </w:r>
          </w:p>
        </w:tc>
      </w:tr>
      <w:tr w14:paraId="57AA7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0" w:type="dxa"/>
            <w:shd w:val="clear" w:color="auto" w:fill="auto"/>
          </w:tcPr>
          <w:p w14:paraId="7B439C4B">
            <w:pPr>
              <w:jc w:val="center"/>
              <w:rPr>
                <w:rFonts w:ascii="Times New Roman" w:hAnsi="Times New Roman" w:cs="Times New Roman"/>
                <w:sz w:val="24"/>
                <w:szCs w:val="24"/>
                <w:highlight w:val="none"/>
              </w:rPr>
            </w:pPr>
            <w:r>
              <w:rPr>
                <w:rFonts w:ascii="Times New Roman" w:hAnsi="Times New Roman" w:cs="Times New Roman"/>
                <w:sz w:val="24"/>
                <w:szCs w:val="24"/>
                <w:highlight w:val="none"/>
              </w:rPr>
              <w:t>10</w:t>
            </w:r>
          </w:p>
        </w:tc>
        <w:tc>
          <w:tcPr>
            <w:tcW w:w="3103" w:type="dxa"/>
            <w:tcBorders>
              <w:top w:val="single" w:color="auto" w:sz="4" w:space="0"/>
              <w:left w:val="nil"/>
              <w:bottom w:val="single" w:color="auto" w:sz="4" w:space="0"/>
              <w:right w:val="nil"/>
            </w:tcBorders>
            <w:shd w:val="clear" w:color="auto" w:fill="auto"/>
          </w:tcPr>
          <w:p w14:paraId="45B8F20F">
            <w:pPr>
              <w:rPr>
                <w:rFonts w:ascii="Times New Roman" w:hAnsi="Times New Roman" w:cs="Times New Roman"/>
                <w:color w:val="000000"/>
                <w:sz w:val="24"/>
                <w:szCs w:val="24"/>
                <w:highlight w:val="none"/>
              </w:rPr>
            </w:pPr>
            <w:r>
              <w:rPr>
                <w:rFonts w:ascii="Times New Roman" w:hAnsi="Times New Roman" w:cs="Times New Roman"/>
                <w:color w:val="000000"/>
                <w:sz w:val="24"/>
                <w:szCs w:val="24"/>
                <w:highlight w:val="none"/>
              </w:rPr>
              <w:t>Покрытия проездов и площадок</w:t>
            </w:r>
          </w:p>
        </w:tc>
        <w:tc>
          <w:tcPr>
            <w:tcW w:w="1893" w:type="dxa"/>
            <w:shd w:val="clear" w:color="auto" w:fill="auto"/>
          </w:tcPr>
          <w:p w14:paraId="28C07FFD">
            <w:pPr>
              <w:jc w:val="both"/>
              <w:rPr>
                <w:rFonts w:ascii="Times New Roman" w:hAnsi="Times New Roman" w:cs="Times New Roman"/>
                <w:sz w:val="24"/>
                <w:szCs w:val="24"/>
                <w:highlight w:val="none"/>
              </w:rPr>
            </w:pPr>
            <w:r>
              <w:rPr>
                <w:rFonts w:ascii="Times New Roman" w:hAnsi="Times New Roman" w:cs="Times New Roman"/>
                <w:sz w:val="24"/>
                <w:szCs w:val="24"/>
                <w:highlight w:val="none"/>
              </w:rPr>
              <w:t>880 дней</w:t>
            </w:r>
          </w:p>
        </w:tc>
        <w:tc>
          <w:tcPr>
            <w:tcW w:w="2785" w:type="dxa"/>
            <w:shd w:val="clear" w:color="auto" w:fill="auto"/>
          </w:tcPr>
          <w:p w14:paraId="5112CEDF">
            <w:pPr>
              <w:jc w:val="both"/>
              <w:rPr>
                <w:rFonts w:ascii="Times New Roman" w:hAnsi="Times New Roman" w:cs="Times New Roman"/>
                <w:sz w:val="24"/>
                <w:szCs w:val="24"/>
                <w:highlight w:val="none"/>
              </w:rPr>
            </w:pPr>
            <w:r>
              <w:rPr>
                <w:rFonts w:ascii="Times New Roman" w:hAnsi="Times New Roman" w:cs="Times New Roman"/>
                <w:sz w:val="24"/>
                <w:szCs w:val="24"/>
                <w:highlight w:val="none"/>
              </w:rPr>
              <w:t>согласно локально-сметному расчету №07-02</w:t>
            </w:r>
          </w:p>
        </w:tc>
      </w:tr>
      <w:tr w14:paraId="0D50B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0" w:type="dxa"/>
            <w:shd w:val="clear" w:color="auto" w:fill="auto"/>
          </w:tcPr>
          <w:p w14:paraId="05037C41">
            <w:pPr>
              <w:jc w:val="center"/>
              <w:rPr>
                <w:rFonts w:ascii="Times New Roman" w:hAnsi="Times New Roman" w:cs="Times New Roman"/>
                <w:sz w:val="24"/>
                <w:szCs w:val="24"/>
                <w:highlight w:val="none"/>
              </w:rPr>
            </w:pPr>
            <w:r>
              <w:rPr>
                <w:rFonts w:ascii="Times New Roman" w:hAnsi="Times New Roman" w:cs="Times New Roman"/>
                <w:sz w:val="24"/>
                <w:szCs w:val="24"/>
                <w:highlight w:val="none"/>
              </w:rPr>
              <w:t>11</w:t>
            </w:r>
          </w:p>
        </w:tc>
        <w:tc>
          <w:tcPr>
            <w:tcW w:w="3103" w:type="dxa"/>
            <w:tcBorders>
              <w:top w:val="single" w:color="auto" w:sz="4" w:space="0"/>
              <w:left w:val="nil"/>
              <w:bottom w:val="single" w:color="auto" w:sz="4" w:space="0"/>
              <w:right w:val="nil"/>
            </w:tcBorders>
            <w:shd w:val="clear" w:color="auto" w:fill="auto"/>
          </w:tcPr>
          <w:p w14:paraId="50A76D4F">
            <w:pPr>
              <w:rPr>
                <w:rFonts w:ascii="Times New Roman" w:hAnsi="Times New Roman" w:cs="Times New Roman"/>
                <w:color w:val="000000"/>
                <w:sz w:val="24"/>
                <w:szCs w:val="24"/>
                <w:highlight w:val="none"/>
              </w:rPr>
            </w:pPr>
            <w:r>
              <w:rPr>
                <w:rFonts w:ascii="Times New Roman" w:hAnsi="Times New Roman" w:cs="Times New Roman"/>
                <w:color w:val="000000"/>
                <w:sz w:val="24"/>
                <w:szCs w:val="24"/>
                <w:highlight w:val="none"/>
              </w:rPr>
              <w:t>Озеленение</w:t>
            </w:r>
          </w:p>
        </w:tc>
        <w:tc>
          <w:tcPr>
            <w:tcW w:w="1893" w:type="dxa"/>
            <w:shd w:val="clear" w:color="auto" w:fill="auto"/>
          </w:tcPr>
          <w:p w14:paraId="2C4C3E57">
            <w:pPr>
              <w:jc w:val="both"/>
              <w:rPr>
                <w:rFonts w:ascii="Times New Roman" w:hAnsi="Times New Roman" w:cs="Times New Roman"/>
                <w:sz w:val="24"/>
                <w:szCs w:val="24"/>
                <w:highlight w:val="none"/>
              </w:rPr>
            </w:pPr>
            <w:r>
              <w:rPr>
                <w:rFonts w:ascii="Times New Roman" w:hAnsi="Times New Roman" w:cs="Times New Roman"/>
                <w:sz w:val="24"/>
                <w:szCs w:val="24"/>
                <w:highlight w:val="none"/>
              </w:rPr>
              <w:t>940 дней</w:t>
            </w:r>
          </w:p>
        </w:tc>
        <w:tc>
          <w:tcPr>
            <w:tcW w:w="2785" w:type="dxa"/>
            <w:shd w:val="clear" w:color="auto" w:fill="auto"/>
          </w:tcPr>
          <w:p w14:paraId="6BB18E99">
            <w:pPr>
              <w:jc w:val="both"/>
              <w:rPr>
                <w:rFonts w:ascii="Times New Roman" w:hAnsi="Times New Roman" w:cs="Times New Roman"/>
                <w:sz w:val="24"/>
                <w:szCs w:val="24"/>
                <w:highlight w:val="none"/>
              </w:rPr>
            </w:pPr>
            <w:r>
              <w:rPr>
                <w:rFonts w:ascii="Times New Roman" w:hAnsi="Times New Roman" w:cs="Times New Roman"/>
                <w:sz w:val="24"/>
                <w:szCs w:val="24"/>
                <w:highlight w:val="none"/>
              </w:rPr>
              <w:t>согласно локально-сметному расчету №07-03</w:t>
            </w:r>
          </w:p>
        </w:tc>
      </w:tr>
      <w:tr w14:paraId="7BDEB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0" w:type="dxa"/>
            <w:shd w:val="clear" w:color="auto" w:fill="auto"/>
          </w:tcPr>
          <w:p w14:paraId="49E8AB13">
            <w:pPr>
              <w:jc w:val="center"/>
              <w:rPr>
                <w:rFonts w:ascii="Times New Roman" w:hAnsi="Times New Roman" w:cs="Times New Roman"/>
                <w:sz w:val="24"/>
                <w:szCs w:val="24"/>
                <w:highlight w:val="none"/>
              </w:rPr>
            </w:pPr>
            <w:r>
              <w:rPr>
                <w:rFonts w:ascii="Times New Roman" w:hAnsi="Times New Roman" w:cs="Times New Roman"/>
                <w:sz w:val="24"/>
                <w:szCs w:val="24"/>
                <w:highlight w:val="none"/>
              </w:rPr>
              <w:t>12</w:t>
            </w:r>
          </w:p>
        </w:tc>
        <w:tc>
          <w:tcPr>
            <w:tcW w:w="3103" w:type="dxa"/>
            <w:tcBorders>
              <w:top w:val="single" w:color="auto" w:sz="4" w:space="0"/>
              <w:left w:val="nil"/>
              <w:bottom w:val="single" w:color="auto" w:sz="4" w:space="0"/>
              <w:right w:val="nil"/>
            </w:tcBorders>
            <w:shd w:val="clear" w:color="auto" w:fill="auto"/>
          </w:tcPr>
          <w:p w14:paraId="6627F6C2">
            <w:pPr>
              <w:rPr>
                <w:rFonts w:ascii="Times New Roman" w:hAnsi="Times New Roman" w:cs="Times New Roman"/>
                <w:color w:val="000000"/>
                <w:sz w:val="24"/>
                <w:szCs w:val="24"/>
                <w:highlight w:val="none"/>
              </w:rPr>
            </w:pPr>
            <w:r>
              <w:rPr>
                <w:rFonts w:ascii="Times New Roman" w:hAnsi="Times New Roman" w:cs="Times New Roman"/>
                <w:color w:val="000000"/>
                <w:sz w:val="24"/>
                <w:szCs w:val="24"/>
                <w:highlight w:val="none"/>
              </w:rPr>
              <w:t>Малые формы</w:t>
            </w:r>
          </w:p>
        </w:tc>
        <w:tc>
          <w:tcPr>
            <w:tcW w:w="1893" w:type="dxa"/>
            <w:shd w:val="clear" w:color="auto" w:fill="auto"/>
          </w:tcPr>
          <w:p w14:paraId="39243176">
            <w:pPr>
              <w:jc w:val="both"/>
              <w:rPr>
                <w:rFonts w:ascii="Times New Roman" w:hAnsi="Times New Roman" w:cs="Times New Roman"/>
                <w:sz w:val="24"/>
                <w:szCs w:val="24"/>
                <w:highlight w:val="none"/>
              </w:rPr>
            </w:pPr>
            <w:r>
              <w:rPr>
                <w:rFonts w:ascii="Times New Roman" w:hAnsi="Times New Roman" w:cs="Times New Roman"/>
                <w:sz w:val="24"/>
                <w:szCs w:val="24"/>
                <w:highlight w:val="none"/>
              </w:rPr>
              <w:t>1000 дней</w:t>
            </w:r>
          </w:p>
        </w:tc>
        <w:tc>
          <w:tcPr>
            <w:tcW w:w="2785" w:type="dxa"/>
            <w:shd w:val="clear" w:color="auto" w:fill="auto"/>
          </w:tcPr>
          <w:p w14:paraId="0ADEE00D">
            <w:pPr>
              <w:jc w:val="both"/>
              <w:rPr>
                <w:rFonts w:ascii="Times New Roman" w:hAnsi="Times New Roman" w:cs="Times New Roman"/>
                <w:sz w:val="24"/>
                <w:szCs w:val="24"/>
                <w:highlight w:val="none"/>
              </w:rPr>
            </w:pPr>
            <w:r>
              <w:rPr>
                <w:rFonts w:ascii="Times New Roman" w:hAnsi="Times New Roman" w:cs="Times New Roman"/>
                <w:sz w:val="24"/>
                <w:szCs w:val="24"/>
                <w:highlight w:val="none"/>
              </w:rPr>
              <w:t>согласно локально-сметному расчету №07-04</w:t>
            </w:r>
          </w:p>
        </w:tc>
      </w:tr>
      <w:tr w14:paraId="01567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0" w:type="dxa"/>
            <w:shd w:val="clear" w:color="auto" w:fill="auto"/>
          </w:tcPr>
          <w:p w14:paraId="2C34DBE3">
            <w:pPr>
              <w:jc w:val="center"/>
              <w:rPr>
                <w:rFonts w:ascii="Times New Roman" w:hAnsi="Times New Roman" w:cs="Times New Roman"/>
                <w:sz w:val="24"/>
                <w:szCs w:val="24"/>
                <w:highlight w:val="none"/>
              </w:rPr>
            </w:pPr>
            <w:r>
              <w:rPr>
                <w:rFonts w:ascii="Times New Roman" w:hAnsi="Times New Roman" w:cs="Times New Roman"/>
                <w:sz w:val="24"/>
                <w:szCs w:val="24"/>
                <w:highlight w:val="none"/>
              </w:rPr>
              <w:t>13</w:t>
            </w:r>
          </w:p>
        </w:tc>
        <w:tc>
          <w:tcPr>
            <w:tcW w:w="3103" w:type="dxa"/>
            <w:tcBorders>
              <w:top w:val="single" w:color="auto" w:sz="4" w:space="0"/>
              <w:left w:val="nil"/>
              <w:bottom w:val="single" w:color="auto" w:sz="4" w:space="0"/>
              <w:right w:val="nil"/>
            </w:tcBorders>
            <w:shd w:val="clear" w:color="auto" w:fill="auto"/>
          </w:tcPr>
          <w:p w14:paraId="19102327">
            <w:pPr>
              <w:rPr>
                <w:rFonts w:ascii="Times New Roman" w:hAnsi="Times New Roman" w:cs="Times New Roman"/>
                <w:color w:val="000000"/>
                <w:sz w:val="24"/>
                <w:szCs w:val="24"/>
                <w:highlight w:val="none"/>
              </w:rPr>
            </w:pPr>
            <w:r>
              <w:rPr>
                <w:rFonts w:ascii="Times New Roman" w:hAnsi="Times New Roman" w:cs="Times New Roman"/>
                <w:color w:val="000000"/>
                <w:sz w:val="24"/>
                <w:szCs w:val="24"/>
                <w:highlight w:val="none"/>
              </w:rPr>
              <w:t>Ограждение</w:t>
            </w:r>
          </w:p>
        </w:tc>
        <w:tc>
          <w:tcPr>
            <w:tcW w:w="1893" w:type="dxa"/>
            <w:shd w:val="clear" w:color="auto" w:fill="auto"/>
          </w:tcPr>
          <w:p w14:paraId="7193A636">
            <w:pPr>
              <w:jc w:val="both"/>
              <w:rPr>
                <w:rFonts w:ascii="Times New Roman" w:hAnsi="Times New Roman" w:cs="Times New Roman"/>
                <w:sz w:val="24"/>
                <w:szCs w:val="24"/>
                <w:highlight w:val="none"/>
              </w:rPr>
            </w:pPr>
            <w:r>
              <w:rPr>
                <w:rFonts w:ascii="Times New Roman" w:hAnsi="Times New Roman" w:cs="Times New Roman"/>
                <w:sz w:val="24"/>
                <w:szCs w:val="24"/>
                <w:highlight w:val="none"/>
              </w:rPr>
              <w:t>1000 дней</w:t>
            </w:r>
          </w:p>
        </w:tc>
        <w:tc>
          <w:tcPr>
            <w:tcW w:w="2785" w:type="dxa"/>
            <w:shd w:val="clear" w:color="auto" w:fill="auto"/>
          </w:tcPr>
          <w:p w14:paraId="335EB793">
            <w:pPr>
              <w:jc w:val="both"/>
              <w:rPr>
                <w:rFonts w:ascii="Times New Roman" w:hAnsi="Times New Roman" w:cs="Times New Roman"/>
                <w:sz w:val="24"/>
                <w:szCs w:val="24"/>
                <w:highlight w:val="none"/>
              </w:rPr>
            </w:pPr>
            <w:r>
              <w:rPr>
                <w:rFonts w:ascii="Times New Roman" w:hAnsi="Times New Roman" w:cs="Times New Roman"/>
                <w:sz w:val="24"/>
                <w:szCs w:val="24"/>
                <w:highlight w:val="none"/>
              </w:rPr>
              <w:t>согласно локально-сметному расчету №07-05</w:t>
            </w:r>
          </w:p>
        </w:tc>
      </w:tr>
      <w:tr w14:paraId="2C231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0" w:type="dxa"/>
            <w:shd w:val="clear" w:color="auto" w:fill="auto"/>
          </w:tcPr>
          <w:p w14:paraId="139BADCD">
            <w:pPr>
              <w:jc w:val="center"/>
              <w:rPr>
                <w:rFonts w:ascii="Times New Roman" w:hAnsi="Times New Roman" w:cs="Times New Roman"/>
                <w:sz w:val="24"/>
                <w:szCs w:val="24"/>
                <w:highlight w:val="none"/>
              </w:rPr>
            </w:pPr>
            <w:r>
              <w:rPr>
                <w:rFonts w:ascii="Times New Roman" w:hAnsi="Times New Roman" w:cs="Times New Roman"/>
                <w:sz w:val="24"/>
                <w:szCs w:val="24"/>
                <w:highlight w:val="none"/>
              </w:rPr>
              <w:t>14</w:t>
            </w:r>
          </w:p>
        </w:tc>
        <w:tc>
          <w:tcPr>
            <w:tcW w:w="3103" w:type="dxa"/>
            <w:tcBorders>
              <w:top w:val="single" w:color="auto" w:sz="4" w:space="0"/>
              <w:left w:val="nil"/>
              <w:bottom w:val="single" w:color="auto" w:sz="4" w:space="0"/>
              <w:right w:val="nil"/>
            </w:tcBorders>
            <w:shd w:val="clear" w:color="auto" w:fill="auto"/>
          </w:tcPr>
          <w:p w14:paraId="6409E1CF">
            <w:pPr>
              <w:rPr>
                <w:rFonts w:ascii="Times New Roman" w:hAnsi="Times New Roman" w:cs="Times New Roman"/>
                <w:color w:val="000000"/>
                <w:sz w:val="24"/>
                <w:szCs w:val="24"/>
                <w:highlight w:val="none"/>
              </w:rPr>
            </w:pPr>
            <w:r>
              <w:rPr>
                <w:rFonts w:ascii="Times New Roman" w:hAnsi="Times New Roman" w:cs="Times New Roman"/>
                <w:color w:val="000000"/>
                <w:sz w:val="24"/>
                <w:szCs w:val="24"/>
                <w:highlight w:val="none"/>
              </w:rPr>
              <w:t xml:space="preserve">Теневой навес </w:t>
            </w:r>
          </w:p>
        </w:tc>
        <w:tc>
          <w:tcPr>
            <w:tcW w:w="1893" w:type="dxa"/>
            <w:shd w:val="clear" w:color="auto" w:fill="auto"/>
          </w:tcPr>
          <w:p w14:paraId="07CF6E0E">
            <w:pPr>
              <w:jc w:val="both"/>
              <w:rPr>
                <w:rFonts w:ascii="Times New Roman" w:hAnsi="Times New Roman" w:cs="Times New Roman"/>
                <w:sz w:val="24"/>
                <w:szCs w:val="24"/>
                <w:highlight w:val="none"/>
              </w:rPr>
            </w:pPr>
            <w:r>
              <w:rPr>
                <w:rFonts w:ascii="Times New Roman" w:hAnsi="Times New Roman" w:cs="Times New Roman"/>
                <w:sz w:val="24"/>
                <w:szCs w:val="24"/>
                <w:highlight w:val="none"/>
              </w:rPr>
              <w:t>1000 дней</w:t>
            </w:r>
          </w:p>
        </w:tc>
        <w:tc>
          <w:tcPr>
            <w:tcW w:w="2785" w:type="dxa"/>
            <w:shd w:val="clear" w:color="auto" w:fill="auto"/>
          </w:tcPr>
          <w:p w14:paraId="08942D14">
            <w:pPr>
              <w:jc w:val="both"/>
              <w:rPr>
                <w:rFonts w:ascii="Times New Roman" w:hAnsi="Times New Roman" w:cs="Times New Roman"/>
                <w:sz w:val="24"/>
                <w:szCs w:val="24"/>
                <w:highlight w:val="none"/>
              </w:rPr>
            </w:pPr>
            <w:r>
              <w:rPr>
                <w:rFonts w:ascii="Times New Roman" w:hAnsi="Times New Roman" w:cs="Times New Roman"/>
                <w:sz w:val="24"/>
                <w:szCs w:val="24"/>
                <w:highlight w:val="none"/>
              </w:rPr>
              <w:t>согласно локально-сметному расчету №07-06</w:t>
            </w:r>
          </w:p>
        </w:tc>
      </w:tr>
    </w:tbl>
    <w:p w14:paraId="5A1790C3">
      <w:pPr>
        <w:widowControl w:val="0"/>
        <w:jc w:val="both"/>
        <w:rPr>
          <w:rFonts w:ascii="Times New Roman" w:hAnsi="Times New Roman" w:eastAsia="PT Astra Serif" w:cs="Times New Roman"/>
          <w:color w:val="000000"/>
          <w:sz w:val="24"/>
          <w:szCs w:val="24"/>
          <w:highlight w:val="none"/>
        </w:rPr>
      </w:pPr>
    </w:p>
    <w:p w14:paraId="61CB2D1B">
      <w:pPr>
        <w:widowControl w:val="0"/>
        <w:jc w:val="both"/>
        <w:rPr>
          <w:rFonts w:ascii="Times New Roman" w:hAnsi="Times New Roman" w:eastAsia="PT Astra Serif" w:cs="Times New Roman"/>
          <w:color w:val="000000"/>
          <w:sz w:val="24"/>
          <w:szCs w:val="24"/>
          <w:highlight w:val="none"/>
        </w:rPr>
      </w:pPr>
    </w:p>
    <w:tbl>
      <w:tblPr>
        <w:tblStyle w:val="9"/>
        <w:tblpPr w:leftFromText="180" w:rightFromText="180" w:vertAnchor="text" w:horzAnchor="margin" w:tblpX="-425" w:tblpY="126"/>
        <w:tblW w:w="10172" w:type="dxa"/>
        <w:tblInd w:w="0" w:type="dxa"/>
        <w:tblLayout w:type="fixed"/>
        <w:tblCellMar>
          <w:top w:w="0" w:type="dxa"/>
          <w:left w:w="108" w:type="dxa"/>
          <w:bottom w:w="0" w:type="dxa"/>
          <w:right w:w="108" w:type="dxa"/>
        </w:tblCellMar>
      </w:tblPr>
      <w:tblGrid>
        <w:gridCol w:w="5250"/>
        <w:gridCol w:w="4922"/>
      </w:tblGrid>
      <w:tr w14:paraId="2A9C975B">
        <w:tblPrEx>
          <w:tblCellMar>
            <w:top w:w="0" w:type="dxa"/>
            <w:left w:w="108" w:type="dxa"/>
            <w:bottom w:w="0" w:type="dxa"/>
            <w:right w:w="108" w:type="dxa"/>
          </w:tblCellMar>
        </w:tblPrEx>
        <w:trPr>
          <w:trHeight w:val="1425" w:hRule="atLeast"/>
        </w:trPr>
        <w:tc>
          <w:tcPr>
            <w:tcW w:w="5250" w:type="dxa"/>
          </w:tcPr>
          <w:p w14:paraId="1EDBB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Times New Roman" w:hAnsi="Times New Roman" w:cs="Times New Roman"/>
                <w:b/>
                <w:bCs/>
                <w:color w:val="333333"/>
                <w:sz w:val="24"/>
                <w:szCs w:val="24"/>
                <w:highlight w:val="none"/>
              </w:rPr>
            </w:pPr>
          </w:p>
          <w:p w14:paraId="36F66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Times New Roman" w:hAnsi="Times New Roman" w:cs="Times New Roman"/>
                <w:b/>
                <w:bCs/>
                <w:color w:val="333333"/>
                <w:sz w:val="24"/>
                <w:szCs w:val="24"/>
                <w:highlight w:val="none"/>
              </w:rPr>
            </w:pPr>
            <w:r>
              <w:rPr>
                <w:rFonts w:ascii="Times New Roman" w:hAnsi="Times New Roman" w:cs="Times New Roman"/>
                <w:b/>
                <w:bCs/>
                <w:color w:val="333333"/>
                <w:sz w:val="24"/>
                <w:szCs w:val="24"/>
                <w:highlight w:val="none"/>
              </w:rPr>
              <w:t xml:space="preserve">Заказчик </w:t>
            </w:r>
          </w:p>
          <w:p w14:paraId="6F8AE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Times New Roman" w:hAnsi="Times New Roman" w:cs="Times New Roman"/>
                <w:b/>
                <w:bCs/>
                <w:color w:val="333333"/>
                <w:sz w:val="24"/>
                <w:szCs w:val="24"/>
                <w:highlight w:val="none"/>
              </w:rPr>
            </w:pPr>
            <w:r>
              <w:rPr>
                <w:rFonts w:ascii="Times New Roman" w:hAnsi="Times New Roman" w:cs="Times New Roman"/>
                <w:b/>
                <w:bCs/>
                <w:color w:val="333333"/>
                <w:sz w:val="24"/>
                <w:szCs w:val="24"/>
                <w:highlight w:val="none"/>
              </w:rPr>
              <w:t xml:space="preserve">____________________  </w:t>
            </w:r>
            <w:r>
              <w:rPr>
                <w:rFonts w:ascii="Times New Roman" w:hAnsi="Times New Roman" w:cs="Times New Roman"/>
                <w:b/>
                <w:bCs/>
                <w:sz w:val="24"/>
                <w:szCs w:val="24"/>
                <w:highlight w:val="none"/>
              </w:rPr>
              <w:t xml:space="preserve"> </w:t>
            </w:r>
            <w:r>
              <w:rPr>
                <w:rFonts w:ascii="Times New Roman" w:hAnsi="Times New Roman" w:cs="Times New Roman"/>
                <w:b/>
                <w:bCs/>
                <w:color w:val="333333"/>
                <w:sz w:val="24"/>
                <w:szCs w:val="24"/>
                <w:highlight w:val="none"/>
              </w:rPr>
              <w:t xml:space="preserve"> М.А. Сайпудинов</w:t>
            </w:r>
          </w:p>
          <w:p w14:paraId="4BDE36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Times New Roman" w:hAnsi="Times New Roman" w:cs="Times New Roman"/>
                <w:b/>
                <w:bCs/>
                <w:color w:val="333333"/>
                <w:sz w:val="24"/>
                <w:szCs w:val="24"/>
                <w:highlight w:val="none"/>
              </w:rPr>
            </w:pPr>
            <w:r>
              <w:rPr>
                <w:rFonts w:ascii="Times New Roman" w:hAnsi="Times New Roman" w:cs="Times New Roman"/>
                <w:b/>
                <w:bCs/>
                <w:color w:val="333333"/>
                <w:sz w:val="24"/>
                <w:szCs w:val="24"/>
                <w:highlight w:val="none"/>
              </w:rPr>
              <w:t>М.П.</w:t>
            </w:r>
          </w:p>
        </w:tc>
        <w:tc>
          <w:tcPr>
            <w:tcW w:w="4922" w:type="dxa"/>
          </w:tcPr>
          <w:p w14:paraId="39479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Times New Roman" w:hAnsi="Times New Roman" w:cs="Times New Roman"/>
                <w:b/>
                <w:bCs/>
                <w:iCs/>
                <w:color w:val="333333"/>
                <w:sz w:val="24"/>
                <w:szCs w:val="24"/>
                <w:highlight w:val="none"/>
              </w:rPr>
            </w:pPr>
          </w:p>
          <w:p w14:paraId="6C8D8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Times New Roman" w:hAnsi="Times New Roman" w:cs="Times New Roman"/>
                <w:b/>
                <w:bCs/>
                <w:iCs/>
                <w:color w:val="333333"/>
                <w:sz w:val="24"/>
                <w:szCs w:val="24"/>
                <w:highlight w:val="none"/>
              </w:rPr>
            </w:pPr>
            <w:r>
              <w:rPr>
                <w:rFonts w:ascii="Times New Roman" w:hAnsi="Times New Roman" w:cs="Times New Roman"/>
                <w:b/>
                <w:bCs/>
                <w:iCs/>
                <w:color w:val="333333"/>
                <w:sz w:val="24"/>
                <w:szCs w:val="24"/>
                <w:highlight w:val="none"/>
              </w:rPr>
              <w:t>Подрядчик</w:t>
            </w:r>
          </w:p>
          <w:p w14:paraId="0038C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Times New Roman" w:hAnsi="Times New Roman" w:cs="Times New Roman"/>
                <w:b/>
                <w:bCs/>
                <w:iCs/>
                <w:color w:val="333333"/>
                <w:sz w:val="24"/>
                <w:szCs w:val="24"/>
                <w:highlight w:val="none"/>
              </w:rPr>
            </w:pPr>
            <w:r>
              <w:rPr>
                <w:rFonts w:ascii="Times New Roman" w:hAnsi="Times New Roman" w:cs="Times New Roman"/>
                <w:b/>
                <w:bCs/>
                <w:iCs/>
                <w:color w:val="333333"/>
                <w:sz w:val="24"/>
                <w:szCs w:val="24"/>
                <w:highlight w:val="none"/>
              </w:rPr>
              <w:t xml:space="preserve">_________________ </w:t>
            </w:r>
            <w:r>
              <w:rPr>
                <w:rFonts w:ascii="Times New Roman" w:hAnsi="Times New Roman" w:cs="Times New Roman"/>
                <w:b/>
                <w:bCs/>
                <w:sz w:val="24"/>
                <w:szCs w:val="24"/>
                <w:highlight w:val="none"/>
              </w:rPr>
              <w:t xml:space="preserve"> А.А. Хасаев</w:t>
            </w:r>
          </w:p>
          <w:p w14:paraId="51ADE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Times New Roman" w:hAnsi="Times New Roman" w:cs="Times New Roman"/>
                <w:b/>
                <w:bCs/>
                <w:iCs/>
                <w:color w:val="333333"/>
                <w:sz w:val="24"/>
                <w:szCs w:val="24"/>
                <w:highlight w:val="none"/>
              </w:rPr>
            </w:pPr>
            <w:r>
              <w:rPr>
                <w:rFonts w:ascii="Times New Roman" w:hAnsi="Times New Roman" w:cs="Times New Roman"/>
                <w:b/>
                <w:bCs/>
                <w:iCs/>
                <w:color w:val="333333"/>
                <w:sz w:val="24"/>
                <w:szCs w:val="24"/>
                <w:highlight w:val="none"/>
              </w:rPr>
              <w:t>М.П.</w:t>
            </w:r>
          </w:p>
        </w:tc>
      </w:tr>
    </w:tbl>
    <w:p w14:paraId="3F04B441">
      <w:pPr>
        <w:widowControl w:val="0"/>
        <w:jc w:val="both"/>
        <w:rPr>
          <w:rFonts w:ascii="Times New Roman" w:hAnsi="Times New Roman" w:eastAsia="PT Astra Serif" w:cs="Times New Roman"/>
          <w:color w:val="000000"/>
          <w:sz w:val="24"/>
          <w:szCs w:val="24"/>
          <w:highlight w:val="none"/>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5"/>
      </w:tblGrid>
      <w:tr w14:paraId="024D8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Borders>
              <w:top w:val="double" w:color="auto" w:sz="12" w:space="0"/>
              <w:left w:val="double" w:color="auto" w:sz="12" w:space="0"/>
              <w:bottom w:val="double" w:color="auto" w:sz="12" w:space="0"/>
              <w:right w:val="double" w:color="auto" w:sz="12" w:space="0"/>
            </w:tcBorders>
          </w:tcPr>
          <w:p w14:paraId="4F81DB41">
            <w:pPr>
              <w:spacing w:before="0" w:after="0"/>
              <w:jc w:val="left"/>
            </w:pPr>
            <w:r>
              <w:rPr>
                <w:rFonts w:ascii="Calibri" w:hAnsi="Calibri" w:eastAsia="Calibri" w:cs="Calibri"/>
                <w:b/>
                <w:sz w:val="24"/>
              </w:rPr>
              <w:t>Данные электронной подписи</w:t>
            </w:r>
          </w:p>
          <w:p w14:paraId="33C9FADF">
            <w:pPr>
              <w:spacing w:before="0" w:after="0"/>
              <w:jc w:val="left"/>
            </w:pPr>
            <w:r>
              <w:rPr>
                <w:rFonts w:ascii="Calibri" w:hAnsi="Calibri" w:eastAsia="Calibri" w:cs="Calibri"/>
                <w:b w:val="0"/>
                <w:sz w:val="20"/>
              </w:rPr>
              <w:t>Владелец: ХАСАЕВ АРАБИ АЛИЕВИЧ</w:t>
            </w:r>
          </w:p>
          <w:p w14:paraId="2CAFF095">
            <w:pPr>
              <w:spacing w:before="0" w:after="0"/>
              <w:jc w:val="left"/>
            </w:pPr>
            <w:r>
              <w:rPr>
                <w:rFonts w:ascii="Calibri" w:hAnsi="Calibri" w:eastAsia="Calibri" w:cs="Calibri"/>
                <w:b w:val="0"/>
                <w:sz w:val="20"/>
              </w:rPr>
              <w:t xml:space="preserve">Организация: ООО "ТСК "МЕГАПОЛИС", 054302999910 </w:t>
            </w:r>
          </w:p>
          <w:p w14:paraId="3D68EAF5">
            <w:pPr>
              <w:spacing w:before="0" w:after="240"/>
            </w:pPr>
            <w:r>
              <w:rPr>
                <w:rFonts w:ascii="Calibri" w:hAnsi="Calibri" w:eastAsia="Calibri" w:cs="Calibri"/>
                <w:b w:val="0"/>
                <w:sz w:val="20"/>
              </w:rPr>
              <w:t>Подписано: 28.04.2025 17:50:53</w:t>
            </w:r>
          </w:p>
          <w:p w14:paraId="25E37D75">
            <w:pPr>
              <w:spacing w:before="0" w:after="0"/>
              <w:jc w:val="left"/>
            </w:pPr>
            <w:r>
              <w:rPr>
                <w:rFonts w:ascii="Calibri" w:hAnsi="Calibri" w:eastAsia="Calibri" w:cs="Calibri"/>
                <w:b/>
                <w:sz w:val="24"/>
              </w:rPr>
              <w:t>Данные сертификата</w:t>
            </w:r>
          </w:p>
          <w:p w14:paraId="7B96B4C2">
            <w:pPr>
              <w:spacing w:before="0" w:after="0"/>
              <w:jc w:val="left"/>
            </w:pPr>
            <w:r>
              <w:rPr>
                <w:rFonts w:ascii="Calibri" w:hAnsi="Calibri" w:eastAsia="Calibri" w:cs="Calibri"/>
                <w:b w:val="0"/>
                <w:sz w:val="20"/>
              </w:rPr>
              <w:t>Серийный номер:</w:t>
            </w:r>
          </w:p>
          <w:p w14:paraId="673437B3">
            <w:pPr>
              <w:spacing w:before="0" w:after="0"/>
              <w:jc w:val="left"/>
            </w:pPr>
            <w:r>
              <w:rPr>
                <w:rFonts w:ascii="Calibri" w:hAnsi="Calibri" w:eastAsia="Calibri" w:cs="Calibri"/>
                <w:b w:val="0"/>
                <w:sz w:val="20"/>
              </w:rPr>
              <w:t>02344CC100C0B111A342C6A33912A10BD0</w:t>
            </w:r>
          </w:p>
          <w:p w14:paraId="46E15C22">
            <w:pPr>
              <w:spacing w:before="0" w:after="0"/>
              <w:jc w:val="left"/>
            </w:pPr>
            <w:r>
              <w:rPr>
                <w:rFonts w:ascii="Calibri" w:hAnsi="Calibri" w:eastAsia="Calibri" w:cs="Calibri"/>
                <w:b w:val="0"/>
                <w:sz w:val="20"/>
              </w:rPr>
              <w:t>Срок действия: 02.08.2024 14:33:47 (МСК) - 02.11.2025 14:43:47 (МСК)</w:t>
            </w:r>
          </w:p>
        </w:tc>
        <w:tc>
          <w:tcPr>
            <w:tcW w:w="2500" w:type="pct"/>
            <w:tcBorders>
              <w:top w:val="double" w:color="auto" w:sz="12" w:space="0"/>
              <w:left w:val="double" w:color="auto" w:sz="12" w:space="0"/>
              <w:bottom w:val="double" w:color="auto" w:sz="12" w:space="0"/>
              <w:right w:val="double" w:color="auto" w:sz="12" w:space="0"/>
            </w:tcBorders>
          </w:tcPr>
          <w:p w14:paraId="5C593F54">
            <w:pPr>
              <w:spacing w:before="0" w:after="0"/>
              <w:jc w:val="left"/>
            </w:pPr>
            <w:r>
              <w:rPr>
                <w:rFonts w:ascii="Calibri" w:hAnsi="Calibri" w:eastAsia="Calibri" w:cs="Calibri"/>
                <w:b/>
                <w:sz w:val="24"/>
              </w:rPr>
              <w:t>Данные электронной подписи</w:t>
            </w:r>
          </w:p>
          <w:p w14:paraId="1E9E9CA4">
            <w:pPr>
              <w:spacing w:before="0" w:after="0"/>
              <w:jc w:val="left"/>
            </w:pPr>
            <w:r>
              <w:rPr>
                <w:rFonts w:ascii="Calibri" w:hAnsi="Calibri" w:eastAsia="Calibri" w:cs="Calibri"/>
                <w:b w:val="0"/>
                <w:sz w:val="20"/>
              </w:rPr>
              <w:t>Владелец: Сайпудинов Магомед Абдулаевич</w:t>
            </w:r>
          </w:p>
          <w:p w14:paraId="02CA34D6">
            <w:pPr>
              <w:spacing w:before="0" w:after="0"/>
              <w:jc w:val="left"/>
            </w:pPr>
            <w:r>
              <w:rPr>
                <w:rFonts w:ascii="Calibri" w:hAnsi="Calibri" w:eastAsia="Calibri" w:cs="Calibri"/>
                <w:b w:val="0"/>
                <w:sz w:val="20"/>
              </w:rPr>
              <w:t xml:space="preserve">Организация: МУНИЦИПАЛЬНОЕ КАЗЕННОЕ УЧРЕЖДЕНИЕ "УПРАВЛЕНИЕ КАПИТАЛЬНОГО СТРОИТЕЛЬСТВА" ГОРОДСКОГО ОКРУГА "ГОРОД ДЕРБЕНТ", 053101206100 </w:t>
            </w:r>
          </w:p>
          <w:p w14:paraId="5BAC5F6C">
            <w:pPr>
              <w:spacing w:before="0" w:after="240"/>
            </w:pPr>
            <w:r>
              <w:rPr>
                <w:rFonts w:ascii="Calibri" w:hAnsi="Calibri" w:eastAsia="Calibri" w:cs="Calibri"/>
                <w:b w:val="0"/>
                <w:sz w:val="20"/>
              </w:rPr>
              <w:t>Подписано: 05.05.2025 14:48:11</w:t>
            </w:r>
          </w:p>
          <w:p w14:paraId="78109E6A">
            <w:pPr>
              <w:spacing w:before="0" w:after="0"/>
              <w:jc w:val="left"/>
            </w:pPr>
            <w:r>
              <w:rPr>
                <w:rFonts w:ascii="Calibri" w:hAnsi="Calibri" w:eastAsia="Calibri" w:cs="Calibri"/>
                <w:b/>
                <w:sz w:val="24"/>
              </w:rPr>
              <w:t>Данные сертификата</w:t>
            </w:r>
          </w:p>
          <w:p w14:paraId="3E4C8BD8">
            <w:pPr>
              <w:spacing w:before="0" w:after="0"/>
              <w:jc w:val="left"/>
            </w:pPr>
            <w:r>
              <w:rPr>
                <w:rFonts w:ascii="Calibri" w:hAnsi="Calibri" w:eastAsia="Calibri" w:cs="Calibri"/>
                <w:b w:val="0"/>
                <w:sz w:val="20"/>
              </w:rPr>
              <w:t>Серийный номер:</w:t>
            </w:r>
          </w:p>
          <w:p w14:paraId="27E8D57A">
            <w:pPr>
              <w:spacing w:before="0" w:after="0"/>
              <w:jc w:val="left"/>
            </w:pPr>
            <w:r>
              <w:rPr>
                <w:rFonts w:ascii="Calibri" w:hAnsi="Calibri" w:eastAsia="Calibri" w:cs="Calibri"/>
                <w:b w:val="0"/>
                <w:sz w:val="20"/>
              </w:rPr>
              <w:t>775A376A2D06C787AB1E6D238D32E430</w:t>
            </w:r>
          </w:p>
          <w:p w14:paraId="54E558E3">
            <w:pPr>
              <w:spacing w:before="0" w:after="0"/>
              <w:jc w:val="left"/>
            </w:pPr>
            <w:r>
              <w:rPr>
                <w:rFonts w:ascii="Calibri" w:hAnsi="Calibri" w:eastAsia="Calibri" w:cs="Calibri"/>
                <w:b w:val="0"/>
                <w:sz w:val="20"/>
              </w:rPr>
              <w:t>Срок действия: 24.04.2024 10:57:33 (МСК) - 18.07.2025 10:57:33 (МСК)</w:t>
            </w:r>
          </w:p>
        </w:tc>
      </w:tr>
      <w:tr w14:paraId="79332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Borders>
              <w:top w:val="double" w:color="auto" w:sz="12" w:space="0"/>
              <w:left w:val="double" w:color="auto" w:sz="12" w:space="0"/>
              <w:bottom w:val="double" w:color="auto" w:sz="12" w:space="0"/>
              <w:right w:val="double" w:color="auto" w:sz="12" w:space="0"/>
            </w:tcBorders>
            <w:shd w:val="clear" w:color="auto" w:fill="FFE8CC"/>
            <w:vAlign w:val="center"/>
          </w:tcPr>
          <w:p w14:paraId="4F3F6504">
            <w:pPr>
              <w:spacing w:after="0"/>
              <w:jc w:val="center"/>
            </w:pPr>
            <w:r>
              <w:rPr>
                <w:rFonts w:ascii="Calibri" w:hAnsi="Calibri" w:eastAsia="Calibri" w:cs="Calibri"/>
                <w:b/>
                <w:sz w:val="20"/>
              </w:rPr>
              <w:t>Документ подписан электронной подписью</w:t>
            </w:r>
          </w:p>
        </w:tc>
        <w:tc>
          <w:tcPr>
            <w:tcW w:w="2500" w:type="pct"/>
            <w:tcBorders>
              <w:top w:val="double" w:color="auto" w:sz="12" w:space="0"/>
              <w:left w:val="double" w:color="auto" w:sz="12" w:space="0"/>
              <w:bottom w:val="double" w:color="auto" w:sz="12" w:space="0"/>
              <w:right w:val="double" w:color="auto" w:sz="12" w:space="0"/>
            </w:tcBorders>
            <w:shd w:val="clear" w:color="auto" w:fill="FFE8CC"/>
            <w:vAlign w:val="center"/>
          </w:tcPr>
          <w:p w14:paraId="196FCC09">
            <w:pPr>
              <w:spacing w:after="0"/>
              <w:jc w:val="center"/>
            </w:pPr>
            <w:r>
              <w:rPr>
                <w:rFonts w:ascii="Calibri" w:hAnsi="Calibri" w:eastAsia="Calibri" w:cs="Calibri"/>
                <w:b/>
                <w:sz w:val="20"/>
              </w:rPr>
              <w:t>Документ подписан электронной подписью</w:t>
            </w:r>
          </w:p>
        </w:tc>
      </w:tr>
    </w:tbl>
    <w:p w14:paraId="1E2625BF">
      <w:pPr>
        <w:widowControl w:val="0"/>
        <w:autoSpaceDE w:val="0"/>
        <w:autoSpaceDN w:val="0"/>
        <w:adjustRightInd w:val="0"/>
        <w:ind w:left="4536"/>
        <w:jc w:val="right"/>
        <w:outlineLvl w:val="0"/>
        <w:rPr>
          <w:rFonts w:ascii="Times New Roman" w:hAnsi="Times New Roman" w:cs="Times New Roman"/>
          <w:sz w:val="24"/>
          <w:szCs w:val="24"/>
          <w:highlight w:val="none"/>
        </w:rPr>
      </w:pPr>
    </w:p>
    <w:p w14:paraId="412879AB">
      <w:pPr>
        <w:widowControl w:val="0"/>
        <w:autoSpaceDE w:val="0"/>
        <w:autoSpaceDN w:val="0"/>
        <w:adjustRightInd w:val="0"/>
        <w:ind w:left="4536"/>
        <w:jc w:val="right"/>
        <w:outlineLvl w:val="0"/>
        <w:rPr>
          <w:rFonts w:ascii="Times New Roman" w:hAnsi="Times New Roman" w:cs="Times New Roman"/>
          <w:sz w:val="24"/>
          <w:szCs w:val="24"/>
          <w:highlight w:val="none"/>
        </w:rPr>
      </w:pPr>
    </w:p>
    <w:p w14:paraId="210D6319">
      <w:pPr>
        <w:widowControl w:val="0"/>
        <w:autoSpaceDE w:val="0"/>
        <w:autoSpaceDN w:val="0"/>
        <w:adjustRightInd w:val="0"/>
        <w:ind w:left="4536"/>
        <w:jc w:val="right"/>
        <w:outlineLvl w:val="0"/>
        <w:rPr>
          <w:rFonts w:ascii="Times New Roman" w:hAnsi="Times New Roman" w:cs="Times New Roman"/>
          <w:sz w:val="24"/>
          <w:szCs w:val="24"/>
          <w:highlight w:val="none"/>
        </w:rPr>
      </w:pPr>
    </w:p>
    <w:p w14:paraId="2E1BEDD2">
      <w:pPr>
        <w:widowControl w:val="0"/>
        <w:autoSpaceDE w:val="0"/>
        <w:autoSpaceDN w:val="0"/>
        <w:adjustRightInd w:val="0"/>
        <w:ind w:left="4536"/>
        <w:jc w:val="right"/>
        <w:outlineLvl w:val="0"/>
        <w:rPr>
          <w:rFonts w:ascii="Times New Roman" w:hAnsi="Times New Roman" w:cs="Times New Roman"/>
          <w:sz w:val="24"/>
          <w:szCs w:val="24"/>
          <w:highlight w:val="none"/>
        </w:rPr>
      </w:pPr>
    </w:p>
    <w:p w14:paraId="62E3549A">
      <w:pPr>
        <w:widowControl w:val="0"/>
        <w:autoSpaceDE w:val="0"/>
        <w:autoSpaceDN w:val="0"/>
        <w:adjustRightInd w:val="0"/>
        <w:ind w:left="4536"/>
        <w:jc w:val="right"/>
        <w:outlineLvl w:val="0"/>
        <w:rPr>
          <w:rFonts w:ascii="Times New Roman" w:hAnsi="Times New Roman" w:cs="Times New Roman"/>
          <w:sz w:val="24"/>
          <w:szCs w:val="24"/>
          <w:highlight w:val="none"/>
        </w:rPr>
      </w:pPr>
      <w:r>
        <w:rPr>
          <w:rFonts w:ascii="Times New Roman" w:hAnsi="Times New Roman" w:cs="Times New Roman"/>
          <w:sz w:val="24"/>
          <w:szCs w:val="24"/>
          <w:highlight w:val="none"/>
        </w:rPr>
        <w:t>Приложение № 2</w:t>
      </w:r>
    </w:p>
    <w:p w14:paraId="76211410">
      <w:pPr>
        <w:ind w:left="4536"/>
        <w:jc w:val="right"/>
        <w:rPr>
          <w:rFonts w:ascii="Times New Roman" w:hAnsi="Times New Roman" w:cs="Times New Roman"/>
          <w:sz w:val="24"/>
          <w:szCs w:val="24"/>
          <w:highlight w:val="none"/>
        </w:rPr>
      </w:pPr>
      <w:r>
        <w:rPr>
          <w:rFonts w:ascii="Times New Roman" w:hAnsi="Times New Roman" w:cs="Times New Roman"/>
          <w:sz w:val="24"/>
          <w:szCs w:val="24"/>
          <w:highlight w:val="none"/>
        </w:rPr>
        <w:t xml:space="preserve">к муниципальному контракту </w:t>
      </w:r>
    </w:p>
    <w:p w14:paraId="247B127A">
      <w:pPr>
        <w:ind w:left="3969"/>
        <w:jc w:val="right"/>
        <w:rPr>
          <w:rFonts w:ascii="Times New Roman" w:hAnsi="Times New Roman" w:cs="Times New Roman"/>
          <w:sz w:val="24"/>
          <w:szCs w:val="24"/>
          <w:highlight w:val="none"/>
        </w:rPr>
      </w:pPr>
      <w:r>
        <w:rPr>
          <w:rFonts w:ascii="Times New Roman" w:hAnsi="Times New Roman" w:cs="Times New Roman"/>
          <w:sz w:val="24"/>
          <w:szCs w:val="24"/>
          <w:highlight w:val="none"/>
        </w:rPr>
        <w:t xml:space="preserve"> № ОК-25/005 от </w:t>
      </w:r>
      <w:r>
        <w:rPr>
          <w:rFonts w:hint="default" w:ascii="Times New Roman" w:hAnsi="Times New Roman" w:cs="Times New Roman"/>
          <w:sz w:val="24"/>
          <w:szCs w:val="24"/>
          <w:highlight w:val="none"/>
          <w:lang w:val="ru-RU"/>
        </w:rPr>
        <w:t>05.05.</w:t>
      </w:r>
      <w:r>
        <w:rPr>
          <w:rFonts w:ascii="Times New Roman" w:hAnsi="Times New Roman" w:cs="Times New Roman"/>
          <w:sz w:val="24"/>
          <w:szCs w:val="24"/>
          <w:highlight w:val="none"/>
        </w:rPr>
        <w:t>2025г.</w:t>
      </w:r>
    </w:p>
    <w:p w14:paraId="1130EFA4">
      <w:pPr>
        <w:jc w:val="center"/>
        <w:rPr>
          <w:rFonts w:ascii="Times New Roman" w:hAnsi="Times New Roman" w:cs="Times New Roman"/>
          <w:sz w:val="24"/>
          <w:szCs w:val="24"/>
          <w:highlight w:val="none"/>
        </w:rPr>
      </w:pPr>
    </w:p>
    <w:p w14:paraId="02E8AC0B">
      <w:pPr>
        <w:jc w:val="center"/>
        <w:rPr>
          <w:rFonts w:ascii="Times New Roman" w:hAnsi="Times New Roman" w:cs="Times New Roman"/>
          <w:b/>
          <w:sz w:val="24"/>
          <w:szCs w:val="24"/>
          <w:highlight w:val="none"/>
        </w:rPr>
      </w:pPr>
      <w:r>
        <w:rPr>
          <w:rFonts w:ascii="Times New Roman" w:hAnsi="Times New Roman" w:cs="Times New Roman"/>
          <w:b/>
          <w:sz w:val="24"/>
          <w:szCs w:val="24"/>
          <w:highlight w:val="none"/>
        </w:rPr>
        <w:t xml:space="preserve">График оплаты выполненных работ </w:t>
      </w:r>
    </w:p>
    <w:p w14:paraId="0E0ACBC6">
      <w:pPr>
        <w:jc w:val="center"/>
        <w:rPr>
          <w:rFonts w:ascii="Times New Roman" w:hAnsi="Times New Roman" w:cs="Times New Roman"/>
          <w:color w:val="000000"/>
          <w:sz w:val="24"/>
          <w:szCs w:val="24"/>
          <w:highlight w:val="none"/>
        </w:rPr>
      </w:pPr>
      <w:r>
        <w:rPr>
          <w:rFonts w:ascii="Times New Roman" w:hAnsi="Times New Roman" w:cs="Times New Roman"/>
          <w:sz w:val="24"/>
          <w:szCs w:val="24"/>
          <w:highlight w:val="none"/>
        </w:rPr>
        <w:t xml:space="preserve"> по объекту: </w:t>
      </w:r>
      <w:r>
        <w:rPr>
          <w:rFonts w:ascii="Times New Roman" w:hAnsi="Times New Roman" w:eastAsia="Times New Roman" w:cs="Times New Roman"/>
          <w:b/>
          <w:sz w:val="24"/>
          <w:szCs w:val="24"/>
          <w:highlight w:val="none"/>
        </w:rPr>
        <w:t>Строительство дошкольного образовательного учреждения №1 на 140 мест в микрорайоне Южный г. Дербента</w:t>
      </w:r>
    </w:p>
    <w:tbl>
      <w:tblPr>
        <w:tblStyle w:val="9"/>
        <w:tblW w:w="10350" w:type="dxa"/>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
        <w:gridCol w:w="1815"/>
        <w:gridCol w:w="1730"/>
        <w:gridCol w:w="1276"/>
        <w:gridCol w:w="1559"/>
        <w:gridCol w:w="1844"/>
        <w:gridCol w:w="1134"/>
      </w:tblGrid>
      <w:tr w14:paraId="11995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21" w:hRule="atLeast"/>
        </w:trPr>
        <w:tc>
          <w:tcPr>
            <w:tcW w:w="992" w:type="dxa"/>
            <w:vMerge w:val="restart"/>
            <w:tcBorders>
              <w:top w:val="single" w:color="auto" w:sz="4" w:space="0"/>
              <w:left w:val="single" w:color="auto" w:sz="4" w:space="0"/>
              <w:bottom w:val="single" w:color="auto" w:sz="4" w:space="0"/>
              <w:right w:val="single" w:color="auto" w:sz="4" w:space="0"/>
            </w:tcBorders>
          </w:tcPr>
          <w:p w14:paraId="4D664652">
            <w:pPr>
              <w:autoSpaceDE w:val="0"/>
              <w:autoSpaceDN w:val="0"/>
              <w:adjustRightInd w:val="0"/>
              <w:ind w:left="-2" w:firstLine="2"/>
              <w:jc w:val="center"/>
              <w:rPr>
                <w:rFonts w:ascii="Times New Roman" w:hAnsi="Times New Roman" w:cs="Times New Roman"/>
                <w:sz w:val="24"/>
                <w:szCs w:val="24"/>
                <w:highlight w:val="none"/>
              </w:rPr>
            </w:pPr>
            <w:r>
              <w:rPr>
                <w:rFonts w:ascii="Times New Roman" w:hAnsi="Times New Roman" w:cs="Times New Roman"/>
                <w:sz w:val="24"/>
                <w:szCs w:val="24"/>
                <w:highlight w:val="none"/>
              </w:rPr>
              <w:t xml:space="preserve">Порядковый номер этапа </w:t>
            </w:r>
          </w:p>
          <w:p w14:paraId="4B005E36">
            <w:pPr>
              <w:ind w:left="-2" w:firstLine="722"/>
              <w:jc w:val="center"/>
              <w:rPr>
                <w:rFonts w:ascii="Times New Roman" w:hAnsi="Times New Roman" w:cs="Times New Roman"/>
                <w:sz w:val="24"/>
                <w:szCs w:val="24"/>
                <w:highlight w:val="none"/>
              </w:rPr>
            </w:pPr>
          </w:p>
        </w:tc>
        <w:tc>
          <w:tcPr>
            <w:tcW w:w="1815" w:type="dxa"/>
            <w:vMerge w:val="restart"/>
            <w:tcBorders>
              <w:top w:val="single" w:color="auto" w:sz="4" w:space="0"/>
              <w:left w:val="single" w:color="auto" w:sz="4" w:space="0"/>
              <w:bottom w:val="single" w:color="auto" w:sz="4" w:space="0"/>
              <w:right w:val="single" w:color="auto" w:sz="4" w:space="0"/>
            </w:tcBorders>
          </w:tcPr>
          <w:p w14:paraId="6245AF7E">
            <w:pPr>
              <w:ind w:left="-2" w:firstLine="39"/>
              <w:jc w:val="center"/>
              <w:rPr>
                <w:rFonts w:ascii="Times New Roman" w:hAnsi="Times New Roman" w:cs="Times New Roman"/>
                <w:sz w:val="24"/>
                <w:szCs w:val="24"/>
                <w:highlight w:val="none"/>
              </w:rPr>
            </w:pPr>
          </w:p>
          <w:p w14:paraId="707594F3">
            <w:pPr>
              <w:ind w:left="-2" w:firstLine="722"/>
              <w:jc w:val="center"/>
              <w:rPr>
                <w:rFonts w:ascii="Times New Roman" w:hAnsi="Times New Roman" w:cs="Times New Roman"/>
                <w:sz w:val="24"/>
                <w:szCs w:val="24"/>
                <w:highlight w:val="none"/>
              </w:rPr>
            </w:pPr>
          </w:p>
          <w:p w14:paraId="30AECC6B">
            <w:pPr>
              <w:autoSpaceDE w:val="0"/>
              <w:autoSpaceDN w:val="0"/>
              <w:adjustRightInd w:val="0"/>
              <w:ind w:left="-2" w:firstLine="2"/>
              <w:jc w:val="center"/>
              <w:rPr>
                <w:rFonts w:ascii="Times New Roman" w:hAnsi="Times New Roman" w:cs="Times New Roman"/>
                <w:sz w:val="24"/>
                <w:szCs w:val="24"/>
                <w:highlight w:val="none"/>
              </w:rPr>
            </w:pPr>
            <w:r>
              <w:rPr>
                <w:rFonts w:ascii="Times New Roman" w:hAnsi="Times New Roman" w:cs="Times New Roman"/>
                <w:sz w:val="24"/>
                <w:szCs w:val="24"/>
                <w:highlight w:val="none"/>
              </w:rPr>
              <w:t>Наименование этапа выполнения контракта и (или) комплекса работ и (или) вида работ и (или) части работ отдельного вида работ</w:t>
            </w:r>
          </w:p>
          <w:p w14:paraId="5E6C8893">
            <w:pPr>
              <w:ind w:left="-2" w:firstLine="722"/>
              <w:jc w:val="center"/>
              <w:rPr>
                <w:rFonts w:ascii="Times New Roman" w:hAnsi="Times New Roman" w:cs="Times New Roman"/>
                <w:sz w:val="24"/>
                <w:szCs w:val="24"/>
                <w:highlight w:val="none"/>
              </w:rPr>
            </w:pPr>
          </w:p>
        </w:tc>
        <w:tc>
          <w:tcPr>
            <w:tcW w:w="1730" w:type="dxa"/>
            <w:vMerge w:val="restart"/>
            <w:tcBorders>
              <w:top w:val="single" w:color="auto" w:sz="4" w:space="0"/>
              <w:left w:val="single" w:color="auto" w:sz="4" w:space="0"/>
              <w:bottom w:val="single" w:color="auto" w:sz="4" w:space="0"/>
              <w:right w:val="single" w:color="auto" w:sz="4" w:space="0"/>
            </w:tcBorders>
          </w:tcPr>
          <w:p w14:paraId="3686F607">
            <w:pPr>
              <w:ind w:left="-2" w:firstLine="722"/>
              <w:jc w:val="center"/>
              <w:rPr>
                <w:rFonts w:ascii="Times New Roman" w:hAnsi="Times New Roman" w:cs="Times New Roman"/>
                <w:sz w:val="24"/>
                <w:szCs w:val="24"/>
                <w:highlight w:val="none"/>
              </w:rPr>
            </w:pPr>
          </w:p>
          <w:p w14:paraId="73FCBC2E">
            <w:pPr>
              <w:autoSpaceDE w:val="0"/>
              <w:autoSpaceDN w:val="0"/>
              <w:adjustRightInd w:val="0"/>
              <w:jc w:val="center"/>
              <w:rPr>
                <w:rFonts w:ascii="Times New Roman" w:hAnsi="Times New Roman" w:cs="Times New Roman"/>
                <w:sz w:val="24"/>
                <w:szCs w:val="24"/>
                <w:highlight w:val="none"/>
              </w:rPr>
            </w:pPr>
            <w:r>
              <w:rPr>
                <w:rFonts w:ascii="Times New Roman" w:hAnsi="Times New Roman" w:cs="Times New Roman"/>
                <w:sz w:val="24"/>
                <w:szCs w:val="24"/>
                <w:highlight w:val="none"/>
              </w:rPr>
              <w:t>Сроки выплаты аванса</w:t>
            </w:r>
          </w:p>
          <w:p w14:paraId="0A0CA857">
            <w:pPr>
              <w:ind w:left="-2" w:firstLine="722"/>
              <w:jc w:val="center"/>
              <w:rPr>
                <w:rFonts w:ascii="Times New Roman" w:hAnsi="Times New Roman" w:cs="Times New Roman"/>
                <w:sz w:val="24"/>
                <w:szCs w:val="24"/>
                <w:highlight w:val="none"/>
              </w:rPr>
            </w:pPr>
          </w:p>
          <w:p w14:paraId="0241705D">
            <w:pPr>
              <w:ind w:left="-2" w:firstLine="722"/>
              <w:jc w:val="center"/>
              <w:rPr>
                <w:rFonts w:ascii="Times New Roman" w:hAnsi="Times New Roman" w:cs="Times New Roman"/>
                <w:sz w:val="24"/>
                <w:szCs w:val="24"/>
                <w:highlight w:val="none"/>
              </w:rPr>
            </w:pPr>
          </w:p>
        </w:tc>
        <w:tc>
          <w:tcPr>
            <w:tcW w:w="1276" w:type="dxa"/>
            <w:vMerge w:val="restart"/>
            <w:tcBorders>
              <w:top w:val="single" w:color="auto" w:sz="4" w:space="0"/>
              <w:left w:val="single" w:color="auto" w:sz="4" w:space="0"/>
              <w:bottom w:val="single" w:color="auto" w:sz="4" w:space="0"/>
              <w:right w:val="single" w:color="auto" w:sz="4" w:space="0"/>
            </w:tcBorders>
          </w:tcPr>
          <w:p w14:paraId="7DEBC603">
            <w:pPr>
              <w:autoSpaceDE w:val="0"/>
              <w:autoSpaceDN w:val="0"/>
              <w:adjustRightInd w:val="0"/>
              <w:ind w:left="-2" w:firstLine="12"/>
              <w:jc w:val="center"/>
              <w:rPr>
                <w:rFonts w:ascii="Times New Roman" w:hAnsi="Times New Roman" w:cs="Times New Roman"/>
                <w:sz w:val="24"/>
                <w:szCs w:val="24"/>
                <w:highlight w:val="none"/>
              </w:rPr>
            </w:pPr>
            <w:r>
              <w:rPr>
                <w:rFonts w:ascii="Times New Roman" w:hAnsi="Times New Roman" w:cs="Times New Roman"/>
                <w:sz w:val="24"/>
                <w:szCs w:val="24"/>
                <w:highlight w:val="none"/>
              </w:rPr>
              <w:t>Размер аванса, подлежащего выплате подрядчику*</w:t>
            </w:r>
          </w:p>
          <w:p w14:paraId="635C4130">
            <w:pPr>
              <w:ind w:left="-2" w:firstLine="722"/>
              <w:jc w:val="center"/>
              <w:rPr>
                <w:rFonts w:ascii="Times New Roman" w:hAnsi="Times New Roman" w:cs="Times New Roman"/>
                <w:sz w:val="24"/>
                <w:szCs w:val="24"/>
                <w:highlight w:val="none"/>
              </w:rPr>
            </w:pPr>
          </w:p>
        </w:tc>
        <w:tc>
          <w:tcPr>
            <w:tcW w:w="1559" w:type="dxa"/>
            <w:tcBorders>
              <w:top w:val="single" w:color="auto" w:sz="4" w:space="0"/>
              <w:left w:val="single" w:color="auto" w:sz="4" w:space="0"/>
              <w:bottom w:val="single" w:color="auto" w:sz="4" w:space="0"/>
              <w:right w:val="single" w:color="auto" w:sz="4" w:space="0"/>
            </w:tcBorders>
          </w:tcPr>
          <w:p w14:paraId="7BF1431C">
            <w:pPr>
              <w:autoSpaceDE w:val="0"/>
              <w:autoSpaceDN w:val="0"/>
              <w:adjustRightInd w:val="0"/>
              <w:ind w:left="-2" w:firstLine="2"/>
              <w:jc w:val="center"/>
              <w:rPr>
                <w:rFonts w:ascii="Times New Roman" w:hAnsi="Times New Roman" w:cs="Times New Roman"/>
                <w:sz w:val="24"/>
                <w:szCs w:val="24"/>
                <w:highlight w:val="none"/>
              </w:rPr>
            </w:pPr>
            <w:r>
              <w:rPr>
                <w:rFonts w:ascii="Times New Roman" w:hAnsi="Times New Roman" w:cs="Times New Roman"/>
                <w:sz w:val="24"/>
                <w:szCs w:val="24"/>
                <w:highlight w:val="none"/>
              </w:rPr>
              <w:t>Сумма к оплате</w:t>
            </w:r>
          </w:p>
          <w:p w14:paraId="79DB516E">
            <w:pPr>
              <w:ind w:left="-2" w:firstLine="722"/>
              <w:jc w:val="right"/>
              <w:rPr>
                <w:rFonts w:ascii="Times New Roman" w:hAnsi="Times New Roman" w:cs="Times New Roman"/>
                <w:sz w:val="24"/>
                <w:szCs w:val="24"/>
                <w:highlight w:val="none"/>
              </w:rPr>
            </w:pPr>
          </w:p>
        </w:tc>
        <w:tc>
          <w:tcPr>
            <w:tcW w:w="1844" w:type="dxa"/>
            <w:vMerge w:val="restart"/>
            <w:tcBorders>
              <w:top w:val="single" w:color="auto" w:sz="4" w:space="0"/>
              <w:left w:val="single" w:color="auto" w:sz="4" w:space="0"/>
              <w:bottom w:val="single" w:color="auto" w:sz="4" w:space="0"/>
              <w:right w:val="single" w:color="auto" w:sz="4" w:space="0"/>
            </w:tcBorders>
          </w:tcPr>
          <w:p w14:paraId="3CBDCAA9">
            <w:pPr>
              <w:autoSpaceDE w:val="0"/>
              <w:autoSpaceDN w:val="0"/>
              <w:adjustRightInd w:val="0"/>
              <w:ind w:left="-2" w:firstLine="2"/>
              <w:jc w:val="center"/>
              <w:rPr>
                <w:rFonts w:ascii="Times New Roman" w:hAnsi="Times New Roman" w:cs="Times New Roman"/>
                <w:sz w:val="24"/>
                <w:szCs w:val="24"/>
                <w:highlight w:val="none"/>
              </w:rPr>
            </w:pPr>
            <w:r>
              <w:rPr>
                <w:rFonts w:ascii="Times New Roman" w:hAnsi="Times New Roman" w:cs="Times New Roman"/>
                <w:sz w:val="24"/>
                <w:szCs w:val="24"/>
                <w:highlight w:val="none"/>
              </w:rPr>
              <w:t>Сроки оплаты за выполненный этап выполнения контракта и (или) комплекс работ и (или) вид работ и (или) часть работ отдельного вида работ</w:t>
            </w:r>
          </w:p>
          <w:p w14:paraId="6222F373">
            <w:pPr>
              <w:autoSpaceDE w:val="0"/>
              <w:autoSpaceDN w:val="0"/>
              <w:adjustRightInd w:val="0"/>
              <w:ind w:left="-2" w:firstLine="722"/>
              <w:jc w:val="center"/>
              <w:rPr>
                <w:rFonts w:ascii="Times New Roman" w:hAnsi="Times New Roman" w:cs="Times New Roman"/>
                <w:sz w:val="24"/>
                <w:szCs w:val="24"/>
                <w:highlight w:val="none"/>
              </w:rPr>
            </w:pPr>
          </w:p>
          <w:p w14:paraId="3F67EB20">
            <w:pPr>
              <w:ind w:left="-2" w:firstLine="722"/>
              <w:jc w:val="center"/>
              <w:rPr>
                <w:rFonts w:ascii="Times New Roman" w:hAnsi="Times New Roman" w:cs="Times New Roman"/>
                <w:sz w:val="24"/>
                <w:szCs w:val="24"/>
                <w:highlight w:val="none"/>
              </w:rPr>
            </w:pPr>
          </w:p>
        </w:tc>
        <w:tc>
          <w:tcPr>
            <w:tcW w:w="1134" w:type="dxa"/>
            <w:vMerge w:val="restart"/>
            <w:tcBorders>
              <w:top w:val="single" w:color="auto" w:sz="4" w:space="0"/>
              <w:left w:val="single" w:color="auto" w:sz="4" w:space="0"/>
              <w:bottom w:val="single" w:color="auto" w:sz="4" w:space="0"/>
              <w:right w:val="single" w:color="auto" w:sz="4" w:space="0"/>
            </w:tcBorders>
          </w:tcPr>
          <w:p w14:paraId="3C9DB0CB">
            <w:pPr>
              <w:autoSpaceDE w:val="0"/>
              <w:autoSpaceDN w:val="0"/>
              <w:adjustRightInd w:val="0"/>
              <w:ind w:left="-2" w:hanging="102"/>
              <w:jc w:val="center"/>
              <w:rPr>
                <w:rFonts w:ascii="Times New Roman" w:hAnsi="Times New Roman" w:cs="Times New Roman"/>
                <w:sz w:val="24"/>
                <w:szCs w:val="24"/>
                <w:highlight w:val="none"/>
              </w:rPr>
            </w:pPr>
            <w:r>
              <w:rPr>
                <w:rFonts w:ascii="Times New Roman" w:hAnsi="Times New Roman" w:cs="Times New Roman"/>
                <w:sz w:val="24"/>
                <w:szCs w:val="24"/>
                <w:highlight w:val="none"/>
              </w:rPr>
              <w:t>Доля этапа выполнения контракта в цене контракта, в %</w:t>
            </w:r>
          </w:p>
          <w:p w14:paraId="735B4D98">
            <w:pPr>
              <w:ind w:left="-2" w:firstLine="722"/>
              <w:jc w:val="center"/>
              <w:rPr>
                <w:rFonts w:ascii="Times New Roman" w:hAnsi="Times New Roman" w:cs="Times New Roman"/>
                <w:sz w:val="24"/>
                <w:szCs w:val="24"/>
                <w:highlight w:val="none"/>
              </w:rPr>
            </w:pPr>
          </w:p>
        </w:tc>
      </w:tr>
      <w:tr w14:paraId="0DB37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992" w:type="dxa"/>
            <w:vMerge w:val="continue"/>
            <w:tcBorders>
              <w:top w:val="single" w:color="auto" w:sz="4" w:space="0"/>
              <w:left w:val="single" w:color="auto" w:sz="4" w:space="0"/>
              <w:bottom w:val="single" w:color="auto" w:sz="4" w:space="0"/>
              <w:right w:val="single" w:color="auto" w:sz="4" w:space="0"/>
            </w:tcBorders>
            <w:vAlign w:val="center"/>
          </w:tcPr>
          <w:p w14:paraId="7EBB3250">
            <w:pPr>
              <w:rPr>
                <w:rFonts w:ascii="Times New Roman" w:hAnsi="Times New Roman" w:cs="Times New Roman"/>
                <w:sz w:val="24"/>
                <w:szCs w:val="24"/>
                <w:highlight w:val="none"/>
                <w:lang w:eastAsia="en-US"/>
              </w:rPr>
            </w:pPr>
          </w:p>
        </w:tc>
        <w:tc>
          <w:tcPr>
            <w:tcW w:w="1815" w:type="dxa"/>
            <w:vMerge w:val="continue"/>
            <w:tcBorders>
              <w:top w:val="single" w:color="auto" w:sz="4" w:space="0"/>
              <w:left w:val="single" w:color="auto" w:sz="4" w:space="0"/>
              <w:bottom w:val="single" w:color="auto" w:sz="4" w:space="0"/>
              <w:right w:val="single" w:color="auto" w:sz="4" w:space="0"/>
            </w:tcBorders>
            <w:vAlign w:val="center"/>
          </w:tcPr>
          <w:p w14:paraId="15407493">
            <w:pPr>
              <w:rPr>
                <w:rFonts w:ascii="Times New Roman" w:hAnsi="Times New Roman" w:cs="Times New Roman"/>
                <w:sz w:val="24"/>
                <w:szCs w:val="24"/>
                <w:highlight w:val="none"/>
              </w:rPr>
            </w:pPr>
          </w:p>
        </w:tc>
        <w:tc>
          <w:tcPr>
            <w:tcW w:w="1730" w:type="dxa"/>
            <w:vMerge w:val="continue"/>
            <w:tcBorders>
              <w:top w:val="single" w:color="auto" w:sz="4" w:space="0"/>
              <w:left w:val="single" w:color="auto" w:sz="4" w:space="0"/>
              <w:bottom w:val="single" w:color="auto" w:sz="4" w:space="0"/>
              <w:right w:val="single" w:color="auto" w:sz="4" w:space="0"/>
            </w:tcBorders>
            <w:vAlign w:val="center"/>
          </w:tcPr>
          <w:p w14:paraId="5A98BF8F">
            <w:pPr>
              <w:rPr>
                <w:rFonts w:ascii="Times New Roman" w:hAnsi="Times New Roman" w:cs="Times New Roman"/>
                <w:sz w:val="24"/>
                <w:szCs w:val="24"/>
                <w:highlight w:val="none"/>
                <w:lang w:eastAsia="en-US"/>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312275C2">
            <w:pPr>
              <w:rPr>
                <w:rFonts w:ascii="Times New Roman" w:hAnsi="Times New Roman" w:cs="Times New Roman"/>
                <w:sz w:val="24"/>
                <w:szCs w:val="24"/>
                <w:highlight w:val="none"/>
                <w:lang w:eastAsia="en-US"/>
              </w:rPr>
            </w:pPr>
          </w:p>
        </w:tc>
        <w:tc>
          <w:tcPr>
            <w:tcW w:w="1559" w:type="dxa"/>
            <w:tcBorders>
              <w:top w:val="single" w:color="auto" w:sz="4" w:space="0"/>
              <w:left w:val="single" w:color="auto" w:sz="4" w:space="0"/>
              <w:bottom w:val="single" w:color="auto" w:sz="4" w:space="0"/>
              <w:right w:val="single" w:color="auto" w:sz="4" w:space="0"/>
            </w:tcBorders>
          </w:tcPr>
          <w:p w14:paraId="439F353D">
            <w:pPr>
              <w:ind w:left="-111" w:right="-106"/>
              <w:jc w:val="center"/>
              <w:rPr>
                <w:rFonts w:ascii="Times New Roman" w:hAnsi="Times New Roman" w:cs="Times New Roman"/>
                <w:sz w:val="24"/>
                <w:szCs w:val="24"/>
                <w:highlight w:val="none"/>
              </w:rPr>
            </w:pPr>
            <w:r>
              <w:rPr>
                <w:rFonts w:ascii="Times New Roman" w:hAnsi="Times New Roman" w:cs="Times New Roman"/>
                <w:sz w:val="24"/>
                <w:szCs w:val="24"/>
                <w:highlight w:val="none"/>
              </w:rPr>
              <w:t>рублей*</w:t>
            </w:r>
          </w:p>
        </w:tc>
        <w:tc>
          <w:tcPr>
            <w:tcW w:w="1844" w:type="dxa"/>
            <w:vMerge w:val="continue"/>
            <w:tcBorders>
              <w:top w:val="single" w:color="auto" w:sz="4" w:space="0"/>
              <w:left w:val="single" w:color="auto" w:sz="4" w:space="0"/>
              <w:bottom w:val="single" w:color="auto" w:sz="4" w:space="0"/>
              <w:right w:val="single" w:color="auto" w:sz="4" w:space="0"/>
            </w:tcBorders>
            <w:vAlign w:val="center"/>
          </w:tcPr>
          <w:p w14:paraId="42822619">
            <w:pPr>
              <w:rPr>
                <w:rFonts w:ascii="Times New Roman" w:hAnsi="Times New Roman" w:cs="Times New Roman"/>
                <w:sz w:val="24"/>
                <w:szCs w:val="24"/>
                <w:highlight w:val="none"/>
                <w:lang w:eastAsia="en-US"/>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637F4354">
            <w:pPr>
              <w:rPr>
                <w:rFonts w:ascii="Times New Roman" w:hAnsi="Times New Roman" w:cs="Times New Roman"/>
                <w:sz w:val="24"/>
                <w:szCs w:val="24"/>
                <w:highlight w:val="none"/>
                <w:lang w:eastAsia="en-US"/>
              </w:rPr>
            </w:pPr>
          </w:p>
        </w:tc>
      </w:tr>
      <w:tr w14:paraId="5E37C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tcBorders>
              <w:top w:val="single" w:color="auto" w:sz="4" w:space="0"/>
              <w:left w:val="single" w:color="auto" w:sz="4" w:space="0"/>
              <w:bottom w:val="single" w:color="auto" w:sz="4" w:space="0"/>
              <w:right w:val="single" w:color="auto" w:sz="4" w:space="0"/>
            </w:tcBorders>
          </w:tcPr>
          <w:p w14:paraId="6CB966F4">
            <w:pPr>
              <w:ind w:left="-2" w:firstLine="178"/>
              <w:jc w:val="center"/>
              <w:rPr>
                <w:rFonts w:ascii="Times New Roman" w:hAnsi="Times New Roman" w:cs="Times New Roman"/>
                <w:sz w:val="24"/>
                <w:szCs w:val="24"/>
                <w:highlight w:val="none"/>
              </w:rPr>
            </w:pPr>
            <w:r>
              <w:rPr>
                <w:rFonts w:ascii="Times New Roman" w:hAnsi="Times New Roman" w:cs="Times New Roman"/>
                <w:sz w:val="24"/>
                <w:szCs w:val="24"/>
                <w:highlight w:val="none"/>
              </w:rPr>
              <w:t>1</w:t>
            </w:r>
          </w:p>
        </w:tc>
        <w:tc>
          <w:tcPr>
            <w:tcW w:w="1815" w:type="dxa"/>
            <w:tcBorders>
              <w:top w:val="single" w:color="auto" w:sz="4" w:space="0"/>
              <w:left w:val="single" w:color="auto" w:sz="4" w:space="0"/>
              <w:bottom w:val="single" w:color="auto" w:sz="4" w:space="0"/>
              <w:right w:val="single" w:color="auto" w:sz="4" w:space="0"/>
            </w:tcBorders>
          </w:tcPr>
          <w:p w14:paraId="79EED65E">
            <w:pPr>
              <w:jc w:val="center"/>
              <w:rPr>
                <w:rFonts w:ascii="Times New Roman" w:hAnsi="Times New Roman" w:cs="Times New Roman"/>
                <w:sz w:val="24"/>
                <w:szCs w:val="24"/>
                <w:highlight w:val="none"/>
              </w:rPr>
            </w:pPr>
            <w:r>
              <w:rPr>
                <w:rFonts w:ascii="Times New Roman" w:hAnsi="Times New Roman" w:cs="Times New Roman"/>
                <w:sz w:val="24"/>
                <w:szCs w:val="24"/>
                <w:highlight w:val="none"/>
              </w:rPr>
              <w:t>2</w:t>
            </w:r>
          </w:p>
        </w:tc>
        <w:tc>
          <w:tcPr>
            <w:tcW w:w="1730" w:type="dxa"/>
            <w:tcBorders>
              <w:top w:val="single" w:color="auto" w:sz="4" w:space="0"/>
              <w:left w:val="single" w:color="auto" w:sz="4" w:space="0"/>
              <w:bottom w:val="single" w:color="auto" w:sz="4" w:space="0"/>
              <w:right w:val="single" w:color="auto" w:sz="4" w:space="0"/>
            </w:tcBorders>
          </w:tcPr>
          <w:p w14:paraId="711C2E2C">
            <w:pPr>
              <w:jc w:val="center"/>
              <w:rPr>
                <w:rFonts w:ascii="Times New Roman" w:hAnsi="Times New Roman" w:cs="Times New Roman"/>
                <w:sz w:val="24"/>
                <w:szCs w:val="24"/>
                <w:highlight w:val="none"/>
              </w:rPr>
            </w:pPr>
            <w:r>
              <w:rPr>
                <w:rFonts w:ascii="Times New Roman" w:hAnsi="Times New Roman" w:cs="Times New Roman"/>
                <w:sz w:val="24"/>
                <w:szCs w:val="24"/>
                <w:highlight w:val="none"/>
              </w:rPr>
              <w:t>3</w:t>
            </w:r>
          </w:p>
        </w:tc>
        <w:tc>
          <w:tcPr>
            <w:tcW w:w="1276" w:type="dxa"/>
            <w:tcBorders>
              <w:top w:val="single" w:color="auto" w:sz="4" w:space="0"/>
              <w:left w:val="single" w:color="auto" w:sz="4" w:space="0"/>
              <w:bottom w:val="single" w:color="auto" w:sz="4" w:space="0"/>
              <w:right w:val="single" w:color="auto" w:sz="4" w:space="0"/>
            </w:tcBorders>
          </w:tcPr>
          <w:p w14:paraId="7B0E380D">
            <w:pPr>
              <w:jc w:val="center"/>
              <w:rPr>
                <w:rFonts w:ascii="Times New Roman" w:hAnsi="Times New Roman" w:cs="Times New Roman"/>
                <w:sz w:val="24"/>
                <w:szCs w:val="24"/>
                <w:highlight w:val="none"/>
              </w:rPr>
            </w:pPr>
            <w:r>
              <w:rPr>
                <w:rFonts w:ascii="Times New Roman" w:hAnsi="Times New Roman" w:cs="Times New Roman"/>
                <w:sz w:val="24"/>
                <w:szCs w:val="24"/>
                <w:highlight w:val="none"/>
              </w:rPr>
              <w:t>4</w:t>
            </w:r>
          </w:p>
        </w:tc>
        <w:tc>
          <w:tcPr>
            <w:tcW w:w="1559" w:type="dxa"/>
            <w:tcBorders>
              <w:top w:val="single" w:color="auto" w:sz="4" w:space="0"/>
              <w:left w:val="single" w:color="auto" w:sz="4" w:space="0"/>
              <w:bottom w:val="single" w:color="auto" w:sz="4" w:space="0"/>
              <w:right w:val="single" w:color="auto" w:sz="4" w:space="0"/>
            </w:tcBorders>
          </w:tcPr>
          <w:p w14:paraId="7AA785A1">
            <w:pPr>
              <w:jc w:val="center"/>
              <w:rPr>
                <w:rFonts w:ascii="Times New Roman" w:hAnsi="Times New Roman" w:cs="Times New Roman"/>
                <w:sz w:val="24"/>
                <w:szCs w:val="24"/>
                <w:highlight w:val="none"/>
              </w:rPr>
            </w:pPr>
            <w:r>
              <w:rPr>
                <w:rFonts w:ascii="Times New Roman" w:hAnsi="Times New Roman" w:cs="Times New Roman"/>
                <w:sz w:val="24"/>
                <w:szCs w:val="24"/>
                <w:highlight w:val="none"/>
              </w:rPr>
              <w:t>5</w:t>
            </w:r>
          </w:p>
        </w:tc>
        <w:tc>
          <w:tcPr>
            <w:tcW w:w="1844" w:type="dxa"/>
            <w:tcBorders>
              <w:top w:val="single" w:color="auto" w:sz="4" w:space="0"/>
              <w:left w:val="single" w:color="auto" w:sz="4" w:space="0"/>
              <w:bottom w:val="single" w:color="auto" w:sz="4" w:space="0"/>
              <w:right w:val="single" w:color="auto" w:sz="4" w:space="0"/>
            </w:tcBorders>
          </w:tcPr>
          <w:p w14:paraId="436CF07E">
            <w:pPr>
              <w:jc w:val="center"/>
              <w:rPr>
                <w:rFonts w:ascii="Times New Roman" w:hAnsi="Times New Roman" w:cs="Times New Roman"/>
                <w:sz w:val="24"/>
                <w:szCs w:val="24"/>
                <w:highlight w:val="none"/>
              </w:rPr>
            </w:pPr>
            <w:r>
              <w:rPr>
                <w:rFonts w:ascii="Times New Roman" w:hAnsi="Times New Roman" w:cs="Times New Roman"/>
                <w:sz w:val="24"/>
                <w:szCs w:val="24"/>
                <w:highlight w:val="none"/>
              </w:rPr>
              <w:t>6</w:t>
            </w:r>
          </w:p>
        </w:tc>
        <w:tc>
          <w:tcPr>
            <w:tcW w:w="1134" w:type="dxa"/>
            <w:tcBorders>
              <w:top w:val="single" w:color="auto" w:sz="4" w:space="0"/>
              <w:left w:val="single" w:color="auto" w:sz="4" w:space="0"/>
              <w:bottom w:val="single" w:color="auto" w:sz="4" w:space="0"/>
              <w:right w:val="single" w:color="auto" w:sz="4" w:space="0"/>
            </w:tcBorders>
          </w:tcPr>
          <w:p w14:paraId="009D4E63">
            <w:pPr>
              <w:jc w:val="center"/>
              <w:rPr>
                <w:rFonts w:ascii="Times New Roman" w:hAnsi="Times New Roman" w:cs="Times New Roman"/>
                <w:sz w:val="24"/>
                <w:szCs w:val="24"/>
                <w:highlight w:val="none"/>
              </w:rPr>
            </w:pPr>
            <w:r>
              <w:rPr>
                <w:rFonts w:ascii="Times New Roman" w:hAnsi="Times New Roman" w:cs="Times New Roman"/>
                <w:sz w:val="24"/>
                <w:szCs w:val="24"/>
                <w:highlight w:val="none"/>
              </w:rPr>
              <w:t>7</w:t>
            </w:r>
          </w:p>
        </w:tc>
      </w:tr>
      <w:tr w14:paraId="2646B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tcBorders>
              <w:top w:val="single" w:color="auto" w:sz="4" w:space="0"/>
              <w:left w:val="single" w:color="auto" w:sz="4" w:space="0"/>
              <w:bottom w:val="single" w:color="auto" w:sz="4" w:space="0"/>
              <w:right w:val="single" w:color="auto" w:sz="4" w:space="0"/>
            </w:tcBorders>
          </w:tcPr>
          <w:p w14:paraId="1D4A50DE">
            <w:pPr>
              <w:autoSpaceDE w:val="0"/>
              <w:autoSpaceDN w:val="0"/>
              <w:adjustRightInd w:val="0"/>
              <w:ind w:left="-2" w:firstLine="2"/>
              <w:jc w:val="center"/>
              <w:rPr>
                <w:rFonts w:ascii="Times New Roman" w:hAnsi="Times New Roman" w:cs="Times New Roman"/>
                <w:sz w:val="24"/>
                <w:szCs w:val="24"/>
                <w:highlight w:val="none"/>
              </w:rPr>
            </w:pPr>
            <w:r>
              <w:rPr>
                <w:rFonts w:ascii="Times New Roman" w:hAnsi="Times New Roman" w:cs="Times New Roman"/>
                <w:sz w:val="24"/>
                <w:szCs w:val="24"/>
                <w:highlight w:val="none"/>
              </w:rPr>
              <w:t>1</w:t>
            </w:r>
          </w:p>
        </w:tc>
        <w:tc>
          <w:tcPr>
            <w:tcW w:w="1815" w:type="dxa"/>
            <w:tcBorders>
              <w:top w:val="single" w:color="auto" w:sz="4" w:space="0"/>
              <w:left w:val="nil"/>
              <w:bottom w:val="single" w:color="auto" w:sz="4" w:space="0"/>
              <w:right w:val="nil"/>
            </w:tcBorders>
            <w:vAlign w:val="center"/>
          </w:tcPr>
          <w:p w14:paraId="305AB158">
            <w:pPr>
              <w:spacing w:line="256" w:lineRule="auto"/>
              <w:rPr>
                <w:rFonts w:ascii="Times New Roman" w:hAnsi="Times New Roman" w:cs="Times New Roman"/>
                <w:color w:val="000000"/>
                <w:highlight w:val="none"/>
                <w:lang w:eastAsia="en-US"/>
              </w:rPr>
            </w:pPr>
            <w:r>
              <w:rPr>
                <w:rFonts w:ascii="Times New Roman" w:hAnsi="Times New Roman" w:cs="Times New Roman"/>
                <w:color w:val="000000"/>
                <w:highlight w:val="none"/>
                <w:lang w:eastAsia="en-US"/>
              </w:rPr>
              <w:t>Здание детского Сада</w:t>
            </w:r>
          </w:p>
        </w:tc>
        <w:tc>
          <w:tcPr>
            <w:tcW w:w="1730" w:type="dxa"/>
            <w:tcBorders>
              <w:top w:val="single" w:color="auto" w:sz="4" w:space="0"/>
              <w:left w:val="single" w:color="auto" w:sz="4" w:space="0"/>
              <w:bottom w:val="single" w:color="auto" w:sz="4" w:space="0"/>
              <w:right w:val="single" w:color="auto" w:sz="4" w:space="0"/>
            </w:tcBorders>
          </w:tcPr>
          <w:p w14:paraId="7AF13330">
            <w:pPr>
              <w:autoSpaceDE w:val="0"/>
              <w:autoSpaceDN w:val="0"/>
              <w:adjustRightInd w:val="0"/>
              <w:ind w:left="-2" w:firstLine="2"/>
              <w:jc w:val="center"/>
              <w:rPr>
                <w:rFonts w:ascii="Times New Roman" w:hAnsi="Times New Roman" w:cs="Times New Roman"/>
                <w:sz w:val="24"/>
                <w:szCs w:val="24"/>
                <w:highlight w:val="none"/>
              </w:rPr>
            </w:pPr>
            <w:r>
              <w:rPr>
                <w:rFonts w:ascii="Times New Roman" w:hAnsi="Times New Roman" w:cs="Times New Roman"/>
                <w:sz w:val="24"/>
                <w:szCs w:val="24"/>
                <w:highlight w:val="none"/>
              </w:rPr>
              <w:t>7 рабочих дней с даты получения документов: - счет на оплату аванса;</w:t>
            </w:r>
          </w:p>
        </w:tc>
        <w:tc>
          <w:tcPr>
            <w:tcW w:w="1276" w:type="dxa"/>
            <w:tcBorders>
              <w:top w:val="single" w:color="auto" w:sz="4" w:space="0"/>
              <w:left w:val="single" w:color="auto" w:sz="4" w:space="0"/>
              <w:bottom w:val="single" w:color="auto" w:sz="4" w:space="0"/>
              <w:right w:val="single" w:color="auto" w:sz="4" w:space="0"/>
            </w:tcBorders>
          </w:tcPr>
          <w:p w14:paraId="1385E1DA">
            <w:pPr>
              <w:autoSpaceDE w:val="0"/>
              <w:autoSpaceDN w:val="0"/>
              <w:adjustRightInd w:val="0"/>
              <w:ind w:left="-2" w:firstLine="2"/>
              <w:jc w:val="center"/>
              <w:rPr>
                <w:rFonts w:ascii="Times New Roman" w:hAnsi="Times New Roman" w:cs="Times New Roman"/>
                <w:sz w:val="24"/>
                <w:szCs w:val="24"/>
                <w:highlight w:val="none"/>
              </w:rPr>
            </w:pPr>
          </w:p>
        </w:tc>
        <w:tc>
          <w:tcPr>
            <w:tcW w:w="1559" w:type="dxa"/>
            <w:tcBorders>
              <w:top w:val="single" w:color="auto" w:sz="4" w:space="0"/>
              <w:left w:val="single" w:color="auto" w:sz="4" w:space="0"/>
              <w:bottom w:val="single" w:color="auto" w:sz="4" w:space="0"/>
              <w:right w:val="single" w:color="auto" w:sz="4" w:space="0"/>
            </w:tcBorders>
          </w:tcPr>
          <w:p w14:paraId="074717C0">
            <w:pPr>
              <w:autoSpaceDE w:val="0"/>
              <w:autoSpaceDN w:val="0"/>
              <w:adjustRightInd w:val="0"/>
              <w:ind w:left="-2" w:firstLine="2"/>
              <w:jc w:val="center"/>
              <w:rPr>
                <w:rFonts w:ascii="Times New Roman" w:hAnsi="Times New Roman" w:cs="Times New Roman"/>
                <w:sz w:val="24"/>
                <w:szCs w:val="24"/>
                <w:highlight w:val="none"/>
              </w:rPr>
            </w:pPr>
            <w:r>
              <w:rPr>
                <w:rFonts w:ascii="Times New Roman" w:hAnsi="Times New Roman" w:cs="Times New Roman"/>
                <w:sz w:val="24"/>
                <w:szCs w:val="24"/>
                <w:highlight w:val="none"/>
              </w:rPr>
              <w:t>По результатам конкурс</w:t>
            </w:r>
          </w:p>
        </w:tc>
        <w:tc>
          <w:tcPr>
            <w:tcW w:w="1844" w:type="dxa"/>
            <w:tcBorders>
              <w:top w:val="single" w:color="auto" w:sz="4" w:space="0"/>
              <w:left w:val="single" w:color="auto" w:sz="4" w:space="0"/>
              <w:bottom w:val="single" w:color="auto" w:sz="4" w:space="0"/>
              <w:right w:val="single" w:color="auto" w:sz="4" w:space="0"/>
            </w:tcBorders>
          </w:tcPr>
          <w:p w14:paraId="2C14BC0E">
            <w:pPr>
              <w:autoSpaceDE w:val="0"/>
              <w:autoSpaceDN w:val="0"/>
              <w:adjustRightInd w:val="0"/>
              <w:ind w:left="-2" w:firstLine="2"/>
              <w:jc w:val="center"/>
              <w:rPr>
                <w:rFonts w:ascii="Times New Roman" w:hAnsi="Times New Roman" w:cs="Times New Roman"/>
                <w:sz w:val="24"/>
                <w:szCs w:val="24"/>
                <w:highlight w:val="none"/>
              </w:rPr>
            </w:pPr>
            <w:r>
              <w:rPr>
                <w:rFonts w:ascii="Times New Roman" w:hAnsi="Times New Roman" w:cs="Times New Roman"/>
                <w:sz w:val="24"/>
                <w:szCs w:val="24"/>
                <w:highlight w:val="none"/>
              </w:rPr>
              <w:t>7 рабочих дней с даты подписания заказчиком документа о приемке выполненных работ</w:t>
            </w:r>
          </w:p>
        </w:tc>
        <w:tc>
          <w:tcPr>
            <w:tcW w:w="1134" w:type="dxa"/>
            <w:tcBorders>
              <w:top w:val="single" w:color="auto" w:sz="4" w:space="0"/>
              <w:left w:val="single" w:color="auto" w:sz="4" w:space="0"/>
              <w:bottom w:val="single" w:color="auto" w:sz="4" w:space="0"/>
              <w:right w:val="single" w:color="auto" w:sz="4" w:space="0"/>
            </w:tcBorders>
          </w:tcPr>
          <w:p w14:paraId="073BD96F">
            <w:pPr>
              <w:autoSpaceDE w:val="0"/>
              <w:autoSpaceDN w:val="0"/>
              <w:adjustRightInd w:val="0"/>
              <w:ind w:left="-2" w:firstLine="2"/>
              <w:jc w:val="center"/>
              <w:rPr>
                <w:rFonts w:ascii="Times New Roman" w:hAnsi="Times New Roman" w:cs="Times New Roman"/>
                <w:sz w:val="24"/>
                <w:szCs w:val="24"/>
                <w:highlight w:val="none"/>
              </w:rPr>
            </w:pPr>
            <w:r>
              <w:rPr>
                <w:rFonts w:ascii="Times New Roman" w:hAnsi="Times New Roman" w:cs="Times New Roman"/>
                <w:sz w:val="24"/>
                <w:szCs w:val="24"/>
                <w:highlight w:val="none"/>
              </w:rPr>
              <w:t>77%</w:t>
            </w:r>
          </w:p>
        </w:tc>
      </w:tr>
      <w:tr w14:paraId="15362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tcBorders>
              <w:top w:val="single" w:color="auto" w:sz="4" w:space="0"/>
              <w:left w:val="single" w:color="auto" w:sz="4" w:space="0"/>
              <w:bottom w:val="single" w:color="auto" w:sz="4" w:space="0"/>
              <w:right w:val="single" w:color="auto" w:sz="4" w:space="0"/>
            </w:tcBorders>
          </w:tcPr>
          <w:p w14:paraId="1ABEB391">
            <w:pPr>
              <w:autoSpaceDE w:val="0"/>
              <w:autoSpaceDN w:val="0"/>
              <w:adjustRightInd w:val="0"/>
              <w:ind w:left="-2" w:firstLine="2"/>
              <w:jc w:val="center"/>
              <w:rPr>
                <w:rFonts w:ascii="Times New Roman" w:hAnsi="Times New Roman" w:cs="Times New Roman"/>
                <w:sz w:val="24"/>
                <w:szCs w:val="24"/>
                <w:highlight w:val="none"/>
              </w:rPr>
            </w:pPr>
            <w:r>
              <w:rPr>
                <w:rFonts w:ascii="Times New Roman" w:hAnsi="Times New Roman" w:cs="Times New Roman"/>
                <w:sz w:val="24"/>
                <w:szCs w:val="24"/>
                <w:highlight w:val="none"/>
              </w:rPr>
              <w:t>2</w:t>
            </w:r>
          </w:p>
        </w:tc>
        <w:tc>
          <w:tcPr>
            <w:tcW w:w="1815" w:type="dxa"/>
            <w:tcBorders>
              <w:top w:val="single" w:color="auto" w:sz="4" w:space="0"/>
              <w:left w:val="nil"/>
              <w:bottom w:val="single" w:color="auto" w:sz="4" w:space="0"/>
              <w:right w:val="nil"/>
            </w:tcBorders>
          </w:tcPr>
          <w:p w14:paraId="461E0D9F">
            <w:pPr>
              <w:spacing w:line="256" w:lineRule="auto"/>
              <w:rPr>
                <w:rFonts w:ascii="Times New Roman" w:hAnsi="Times New Roman" w:cs="Times New Roman"/>
                <w:color w:val="000000"/>
                <w:highlight w:val="none"/>
                <w:lang w:eastAsia="en-US"/>
              </w:rPr>
            </w:pPr>
            <w:r>
              <w:rPr>
                <w:rFonts w:ascii="Times New Roman" w:hAnsi="Times New Roman" w:cs="Times New Roman"/>
                <w:color w:val="000000"/>
                <w:highlight w:val="none"/>
                <w:lang w:eastAsia="en-US"/>
              </w:rPr>
              <w:t>Наружные сети электроснабжения</w:t>
            </w:r>
          </w:p>
        </w:tc>
        <w:tc>
          <w:tcPr>
            <w:tcW w:w="1730" w:type="dxa"/>
            <w:tcBorders>
              <w:top w:val="single" w:color="auto" w:sz="4" w:space="0"/>
              <w:left w:val="single" w:color="auto" w:sz="4" w:space="0"/>
              <w:bottom w:val="single" w:color="auto" w:sz="4" w:space="0"/>
              <w:right w:val="single" w:color="auto" w:sz="4" w:space="0"/>
            </w:tcBorders>
          </w:tcPr>
          <w:p w14:paraId="705619AB">
            <w:pPr>
              <w:rPr>
                <w:highlight w:val="none"/>
              </w:rPr>
            </w:pPr>
            <w:r>
              <w:rPr>
                <w:rFonts w:ascii="Times New Roman" w:hAnsi="Times New Roman" w:cs="Times New Roman"/>
                <w:sz w:val="24"/>
                <w:szCs w:val="24"/>
                <w:highlight w:val="none"/>
              </w:rPr>
              <w:t>7 рабочих дней с даты получения документов: - счет на оплату аванса;</w:t>
            </w:r>
          </w:p>
        </w:tc>
        <w:tc>
          <w:tcPr>
            <w:tcW w:w="1276" w:type="dxa"/>
            <w:tcBorders>
              <w:top w:val="single" w:color="auto" w:sz="4" w:space="0"/>
              <w:left w:val="single" w:color="auto" w:sz="4" w:space="0"/>
              <w:bottom w:val="single" w:color="auto" w:sz="4" w:space="0"/>
              <w:right w:val="single" w:color="auto" w:sz="4" w:space="0"/>
            </w:tcBorders>
          </w:tcPr>
          <w:p w14:paraId="69373B59">
            <w:pPr>
              <w:rPr>
                <w:highlight w:val="none"/>
              </w:rPr>
            </w:pPr>
          </w:p>
        </w:tc>
        <w:tc>
          <w:tcPr>
            <w:tcW w:w="1559" w:type="dxa"/>
            <w:tcBorders>
              <w:top w:val="single" w:color="auto" w:sz="4" w:space="0"/>
              <w:left w:val="single" w:color="auto" w:sz="4" w:space="0"/>
              <w:bottom w:val="single" w:color="auto" w:sz="4" w:space="0"/>
              <w:right w:val="single" w:color="auto" w:sz="4" w:space="0"/>
            </w:tcBorders>
          </w:tcPr>
          <w:p w14:paraId="5BCBAC1F">
            <w:pPr>
              <w:autoSpaceDE w:val="0"/>
              <w:autoSpaceDN w:val="0"/>
              <w:adjustRightInd w:val="0"/>
              <w:ind w:left="-2" w:firstLine="2"/>
              <w:jc w:val="center"/>
              <w:rPr>
                <w:rFonts w:ascii="Times New Roman" w:hAnsi="Times New Roman" w:cs="Times New Roman"/>
                <w:sz w:val="24"/>
                <w:szCs w:val="24"/>
                <w:highlight w:val="none"/>
              </w:rPr>
            </w:pPr>
            <w:r>
              <w:rPr>
                <w:rFonts w:ascii="Times New Roman" w:hAnsi="Times New Roman" w:cs="Times New Roman"/>
                <w:sz w:val="24"/>
                <w:szCs w:val="24"/>
                <w:highlight w:val="none"/>
              </w:rPr>
              <w:t>По результатам конкурс</w:t>
            </w:r>
          </w:p>
        </w:tc>
        <w:tc>
          <w:tcPr>
            <w:tcW w:w="1844" w:type="dxa"/>
            <w:tcBorders>
              <w:top w:val="single" w:color="auto" w:sz="4" w:space="0"/>
              <w:left w:val="single" w:color="auto" w:sz="4" w:space="0"/>
              <w:bottom w:val="single" w:color="auto" w:sz="4" w:space="0"/>
              <w:right w:val="single" w:color="auto" w:sz="4" w:space="0"/>
            </w:tcBorders>
          </w:tcPr>
          <w:p w14:paraId="3D6AFFAF">
            <w:pPr>
              <w:autoSpaceDE w:val="0"/>
              <w:autoSpaceDN w:val="0"/>
              <w:adjustRightInd w:val="0"/>
              <w:ind w:left="-2" w:firstLine="2"/>
              <w:jc w:val="center"/>
              <w:rPr>
                <w:rFonts w:ascii="Times New Roman" w:hAnsi="Times New Roman" w:cs="Times New Roman"/>
                <w:sz w:val="24"/>
                <w:szCs w:val="24"/>
                <w:highlight w:val="none"/>
              </w:rPr>
            </w:pPr>
            <w:r>
              <w:rPr>
                <w:rFonts w:ascii="Times New Roman" w:hAnsi="Times New Roman" w:cs="Times New Roman"/>
                <w:sz w:val="24"/>
                <w:szCs w:val="24"/>
                <w:highlight w:val="none"/>
              </w:rPr>
              <w:t>7 рабочих дней с даты подписания заказчиком документа о приемке выполненных работ</w:t>
            </w:r>
          </w:p>
        </w:tc>
        <w:tc>
          <w:tcPr>
            <w:tcW w:w="1134" w:type="dxa"/>
            <w:tcBorders>
              <w:top w:val="single" w:color="auto" w:sz="4" w:space="0"/>
              <w:left w:val="single" w:color="auto" w:sz="4" w:space="0"/>
              <w:bottom w:val="single" w:color="auto" w:sz="4" w:space="0"/>
              <w:right w:val="single" w:color="auto" w:sz="4" w:space="0"/>
            </w:tcBorders>
          </w:tcPr>
          <w:p w14:paraId="05846D61">
            <w:pPr>
              <w:autoSpaceDE w:val="0"/>
              <w:autoSpaceDN w:val="0"/>
              <w:adjustRightInd w:val="0"/>
              <w:ind w:left="-2" w:firstLine="2"/>
              <w:jc w:val="center"/>
              <w:rPr>
                <w:rFonts w:ascii="Times New Roman" w:hAnsi="Times New Roman" w:cs="Times New Roman"/>
                <w:sz w:val="24"/>
                <w:szCs w:val="24"/>
                <w:highlight w:val="none"/>
              </w:rPr>
            </w:pPr>
            <w:r>
              <w:rPr>
                <w:rFonts w:ascii="Times New Roman" w:hAnsi="Times New Roman" w:cs="Times New Roman"/>
                <w:sz w:val="24"/>
                <w:szCs w:val="24"/>
                <w:highlight w:val="none"/>
              </w:rPr>
              <w:t>2,83%</w:t>
            </w:r>
          </w:p>
        </w:tc>
      </w:tr>
      <w:tr w14:paraId="14CC5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tcBorders>
              <w:top w:val="single" w:color="auto" w:sz="4" w:space="0"/>
              <w:left w:val="single" w:color="auto" w:sz="4" w:space="0"/>
              <w:bottom w:val="single" w:color="auto" w:sz="4" w:space="0"/>
              <w:right w:val="single" w:color="auto" w:sz="4" w:space="0"/>
            </w:tcBorders>
          </w:tcPr>
          <w:p w14:paraId="404A18CA">
            <w:pPr>
              <w:autoSpaceDE w:val="0"/>
              <w:autoSpaceDN w:val="0"/>
              <w:adjustRightInd w:val="0"/>
              <w:ind w:left="-2" w:firstLine="2"/>
              <w:jc w:val="center"/>
              <w:rPr>
                <w:rFonts w:ascii="Times New Roman" w:hAnsi="Times New Roman" w:cs="Times New Roman"/>
                <w:sz w:val="24"/>
                <w:szCs w:val="24"/>
                <w:highlight w:val="none"/>
              </w:rPr>
            </w:pPr>
            <w:r>
              <w:rPr>
                <w:rFonts w:ascii="Times New Roman" w:hAnsi="Times New Roman" w:cs="Times New Roman"/>
                <w:sz w:val="24"/>
                <w:szCs w:val="24"/>
                <w:highlight w:val="none"/>
              </w:rPr>
              <w:t>3</w:t>
            </w:r>
          </w:p>
        </w:tc>
        <w:tc>
          <w:tcPr>
            <w:tcW w:w="1815" w:type="dxa"/>
            <w:tcBorders>
              <w:top w:val="single" w:color="auto" w:sz="4" w:space="0"/>
              <w:left w:val="nil"/>
              <w:bottom w:val="single" w:color="auto" w:sz="4" w:space="0"/>
              <w:right w:val="nil"/>
            </w:tcBorders>
          </w:tcPr>
          <w:p w14:paraId="6388156B">
            <w:pPr>
              <w:spacing w:line="256" w:lineRule="auto"/>
              <w:rPr>
                <w:rFonts w:ascii="Times New Roman" w:hAnsi="Times New Roman" w:cs="Times New Roman"/>
                <w:color w:val="000000"/>
                <w:highlight w:val="none"/>
                <w:lang w:eastAsia="en-US"/>
              </w:rPr>
            </w:pPr>
            <w:r>
              <w:rPr>
                <w:rFonts w:ascii="Times New Roman" w:hAnsi="Times New Roman" w:cs="Times New Roman"/>
                <w:color w:val="000000"/>
                <w:highlight w:val="none"/>
                <w:lang w:eastAsia="en-US"/>
              </w:rPr>
              <w:t>Внутриплощадочные сети водоснабжения</w:t>
            </w:r>
          </w:p>
        </w:tc>
        <w:tc>
          <w:tcPr>
            <w:tcW w:w="1730" w:type="dxa"/>
            <w:tcBorders>
              <w:top w:val="single" w:color="auto" w:sz="4" w:space="0"/>
              <w:left w:val="single" w:color="auto" w:sz="4" w:space="0"/>
              <w:bottom w:val="single" w:color="auto" w:sz="4" w:space="0"/>
              <w:right w:val="single" w:color="auto" w:sz="4" w:space="0"/>
            </w:tcBorders>
          </w:tcPr>
          <w:p w14:paraId="22FB2CF0">
            <w:pPr>
              <w:rPr>
                <w:highlight w:val="none"/>
              </w:rPr>
            </w:pPr>
            <w:r>
              <w:rPr>
                <w:rFonts w:ascii="Times New Roman" w:hAnsi="Times New Roman" w:cs="Times New Roman"/>
                <w:sz w:val="24"/>
                <w:szCs w:val="24"/>
                <w:highlight w:val="none"/>
              </w:rPr>
              <w:t>7 рабочих дней с даты получения документов: - счет на оплату аванса;</w:t>
            </w:r>
          </w:p>
        </w:tc>
        <w:tc>
          <w:tcPr>
            <w:tcW w:w="1276" w:type="dxa"/>
            <w:tcBorders>
              <w:top w:val="single" w:color="auto" w:sz="4" w:space="0"/>
              <w:left w:val="single" w:color="auto" w:sz="4" w:space="0"/>
              <w:bottom w:val="single" w:color="auto" w:sz="4" w:space="0"/>
              <w:right w:val="single" w:color="auto" w:sz="4" w:space="0"/>
            </w:tcBorders>
          </w:tcPr>
          <w:p w14:paraId="2C5DEB3E">
            <w:pPr>
              <w:rPr>
                <w:highlight w:val="none"/>
              </w:rPr>
            </w:pPr>
          </w:p>
        </w:tc>
        <w:tc>
          <w:tcPr>
            <w:tcW w:w="1559" w:type="dxa"/>
            <w:tcBorders>
              <w:top w:val="single" w:color="auto" w:sz="4" w:space="0"/>
              <w:left w:val="single" w:color="auto" w:sz="4" w:space="0"/>
              <w:bottom w:val="single" w:color="auto" w:sz="4" w:space="0"/>
              <w:right w:val="single" w:color="auto" w:sz="4" w:space="0"/>
            </w:tcBorders>
          </w:tcPr>
          <w:p w14:paraId="6227885B">
            <w:pPr>
              <w:autoSpaceDE w:val="0"/>
              <w:autoSpaceDN w:val="0"/>
              <w:adjustRightInd w:val="0"/>
              <w:ind w:left="-2" w:firstLine="2"/>
              <w:jc w:val="center"/>
              <w:rPr>
                <w:rFonts w:ascii="Times New Roman" w:hAnsi="Times New Roman" w:cs="Times New Roman"/>
                <w:sz w:val="24"/>
                <w:szCs w:val="24"/>
                <w:highlight w:val="none"/>
              </w:rPr>
            </w:pPr>
            <w:r>
              <w:rPr>
                <w:rFonts w:ascii="Times New Roman" w:hAnsi="Times New Roman" w:cs="Times New Roman"/>
                <w:sz w:val="24"/>
                <w:szCs w:val="24"/>
                <w:highlight w:val="none"/>
              </w:rPr>
              <w:t>По результатам конкурс</w:t>
            </w:r>
          </w:p>
        </w:tc>
        <w:tc>
          <w:tcPr>
            <w:tcW w:w="1844" w:type="dxa"/>
            <w:tcBorders>
              <w:top w:val="single" w:color="auto" w:sz="4" w:space="0"/>
              <w:left w:val="single" w:color="auto" w:sz="4" w:space="0"/>
              <w:bottom w:val="single" w:color="auto" w:sz="4" w:space="0"/>
              <w:right w:val="single" w:color="auto" w:sz="4" w:space="0"/>
            </w:tcBorders>
          </w:tcPr>
          <w:p w14:paraId="7694D58C">
            <w:pPr>
              <w:autoSpaceDE w:val="0"/>
              <w:autoSpaceDN w:val="0"/>
              <w:adjustRightInd w:val="0"/>
              <w:ind w:left="-2" w:firstLine="2"/>
              <w:jc w:val="center"/>
              <w:rPr>
                <w:rFonts w:ascii="Times New Roman" w:hAnsi="Times New Roman" w:cs="Times New Roman"/>
                <w:sz w:val="24"/>
                <w:szCs w:val="24"/>
                <w:highlight w:val="none"/>
              </w:rPr>
            </w:pPr>
            <w:r>
              <w:rPr>
                <w:rFonts w:ascii="Times New Roman" w:hAnsi="Times New Roman" w:cs="Times New Roman"/>
                <w:sz w:val="24"/>
                <w:szCs w:val="24"/>
                <w:highlight w:val="none"/>
              </w:rPr>
              <w:t>7 рабочих дней с даты подписания заказчиком документа о приемке выполненных работ</w:t>
            </w:r>
          </w:p>
        </w:tc>
        <w:tc>
          <w:tcPr>
            <w:tcW w:w="1134" w:type="dxa"/>
            <w:tcBorders>
              <w:top w:val="single" w:color="auto" w:sz="4" w:space="0"/>
              <w:left w:val="single" w:color="auto" w:sz="4" w:space="0"/>
              <w:bottom w:val="single" w:color="auto" w:sz="4" w:space="0"/>
              <w:right w:val="single" w:color="auto" w:sz="4" w:space="0"/>
            </w:tcBorders>
          </w:tcPr>
          <w:p w14:paraId="5427C57D">
            <w:pPr>
              <w:autoSpaceDE w:val="0"/>
              <w:autoSpaceDN w:val="0"/>
              <w:adjustRightInd w:val="0"/>
              <w:ind w:left="-2" w:firstLine="2"/>
              <w:jc w:val="center"/>
              <w:rPr>
                <w:rFonts w:ascii="Times New Roman" w:hAnsi="Times New Roman" w:cs="Times New Roman"/>
                <w:sz w:val="24"/>
                <w:szCs w:val="24"/>
                <w:highlight w:val="none"/>
              </w:rPr>
            </w:pPr>
            <w:r>
              <w:rPr>
                <w:rFonts w:ascii="Times New Roman" w:hAnsi="Times New Roman" w:cs="Times New Roman"/>
                <w:sz w:val="24"/>
                <w:szCs w:val="24"/>
                <w:highlight w:val="none"/>
              </w:rPr>
              <w:t>0,22%</w:t>
            </w:r>
          </w:p>
        </w:tc>
      </w:tr>
      <w:tr w14:paraId="7734C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tcBorders>
              <w:top w:val="single" w:color="auto" w:sz="4" w:space="0"/>
              <w:left w:val="single" w:color="auto" w:sz="4" w:space="0"/>
              <w:bottom w:val="single" w:color="auto" w:sz="4" w:space="0"/>
              <w:right w:val="single" w:color="auto" w:sz="4" w:space="0"/>
            </w:tcBorders>
          </w:tcPr>
          <w:p w14:paraId="11949144">
            <w:pPr>
              <w:autoSpaceDE w:val="0"/>
              <w:autoSpaceDN w:val="0"/>
              <w:adjustRightInd w:val="0"/>
              <w:ind w:left="-2" w:firstLine="2"/>
              <w:jc w:val="center"/>
              <w:rPr>
                <w:rFonts w:ascii="Times New Roman" w:hAnsi="Times New Roman" w:cs="Times New Roman"/>
                <w:sz w:val="24"/>
                <w:szCs w:val="24"/>
                <w:highlight w:val="none"/>
              </w:rPr>
            </w:pPr>
            <w:r>
              <w:rPr>
                <w:rFonts w:ascii="Times New Roman" w:hAnsi="Times New Roman" w:cs="Times New Roman"/>
                <w:sz w:val="24"/>
                <w:szCs w:val="24"/>
                <w:highlight w:val="none"/>
              </w:rPr>
              <w:t>4</w:t>
            </w:r>
          </w:p>
        </w:tc>
        <w:tc>
          <w:tcPr>
            <w:tcW w:w="1815" w:type="dxa"/>
            <w:tcBorders>
              <w:top w:val="single" w:color="auto" w:sz="4" w:space="0"/>
              <w:left w:val="nil"/>
              <w:bottom w:val="single" w:color="auto" w:sz="4" w:space="0"/>
              <w:right w:val="nil"/>
            </w:tcBorders>
          </w:tcPr>
          <w:p w14:paraId="4D2D0896">
            <w:pPr>
              <w:spacing w:line="256" w:lineRule="auto"/>
              <w:rPr>
                <w:rFonts w:ascii="Times New Roman" w:hAnsi="Times New Roman" w:cs="Times New Roman"/>
                <w:color w:val="000000"/>
                <w:highlight w:val="none"/>
                <w:lang w:eastAsia="en-US"/>
              </w:rPr>
            </w:pPr>
            <w:r>
              <w:rPr>
                <w:rFonts w:ascii="Times New Roman" w:hAnsi="Times New Roman" w:cs="Times New Roman"/>
                <w:color w:val="000000"/>
                <w:highlight w:val="none"/>
                <w:lang w:eastAsia="en-US"/>
              </w:rPr>
              <w:t>Внутриплощадочные сети канализации</w:t>
            </w:r>
          </w:p>
        </w:tc>
        <w:tc>
          <w:tcPr>
            <w:tcW w:w="1730" w:type="dxa"/>
            <w:tcBorders>
              <w:top w:val="single" w:color="auto" w:sz="4" w:space="0"/>
              <w:left w:val="single" w:color="auto" w:sz="4" w:space="0"/>
              <w:bottom w:val="single" w:color="auto" w:sz="4" w:space="0"/>
              <w:right w:val="single" w:color="auto" w:sz="4" w:space="0"/>
            </w:tcBorders>
          </w:tcPr>
          <w:p w14:paraId="5B3D41D5">
            <w:pPr>
              <w:rPr>
                <w:highlight w:val="none"/>
              </w:rPr>
            </w:pPr>
            <w:r>
              <w:rPr>
                <w:rFonts w:ascii="Times New Roman" w:hAnsi="Times New Roman" w:cs="Times New Roman"/>
                <w:sz w:val="24"/>
                <w:szCs w:val="24"/>
                <w:highlight w:val="none"/>
              </w:rPr>
              <w:t>7 рабочих дней с даты получения документов: - счет на оплату аванса;</w:t>
            </w:r>
          </w:p>
        </w:tc>
        <w:tc>
          <w:tcPr>
            <w:tcW w:w="1276" w:type="dxa"/>
            <w:tcBorders>
              <w:top w:val="single" w:color="auto" w:sz="4" w:space="0"/>
              <w:left w:val="single" w:color="auto" w:sz="4" w:space="0"/>
              <w:bottom w:val="single" w:color="auto" w:sz="4" w:space="0"/>
              <w:right w:val="single" w:color="auto" w:sz="4" w:space="0"/>
            </w:tcBorders>
          </w:tcPr>
          <w:p w14:paraId="6F822446">
            <w:pPr>
              <w:rPr>
                <w:highlight w:val="none"/>
              </w:rPr>
            </w:pPr>
          </w:p>
        </w:tc>
        <w:tc>
          <w:tcPr>
            <w:tcW w:w="1559" w:type="dxa"/>
            <w:tcBorders>
              <w:top w:val="single" w:color="auto" w:sz="4" w:space="0"/>
              <w:left w:val="single" w:color="auto" w:sz="4" w:space="0"/>
              <w:bottom w:val="single" w:color="auto" w:sz="4" w:space="0"/>
              <w:right w:val="single" w:color="auto" w:sz="4" w:space="0"/>
            </w:tcBorders>
          </w:tcPr>
          <w:p w14:paraId="6C49031B">
            <w:pPr>
              <w:autoSpaceDE w:val="0"/>
              <w:autoSpaceDN w:val="0"/>
              <w:adjustRightInd w:val="0"/>
              <w:ind w:left="-2" w:firstLine="2"/>
              <w:jc w:val="center"/>
              <w:rPr>
                <w:rFonts w:ascii="Times New Roman" w:hAnsi="Times New Roman" w:cs="Times New Roman"/>
                <w:sz w:val="24"/>
                <w:szCs w:val="24"/>
                <w:highlight w:val="none"/>
              </w:rPr>
            </w:pPr>
            <w:r>
              <w:rPr>
                <w:rFonts w:ascii="Times New Roman" w:hAnsi="Times New Roman" w:cs="Times New Roman"/>
                <w:sz w:val="24"/>
                <w:szCs w:val="24"/>
                <w:highlight w:val="none"/>
              </w:rPr>
              <w:t>По результатам конкурс</w:t>
            </w:r>
          </w:p>
        </w:tc>
        <w:tc>
          <w:tcPr>
            <w:tcW w:w="1844" w:type="dxa"/>
            <w:tcBorders>
              <w:top w:val="single" w:color="auto" w:sz="4" w:space="0"/>
              <w:left w:val="single" w:color="auto" w:sz="4" w:space="0"/>
              <w:bottom w:val="single" w:color="auto" w:sz="4" w:space="0"/>
              <w:right w:val="single" w:color="auto" w:sz="4" w:space="0"/>
            </w:tcBorders>
          </w:tcPr>
          <w:p w14:paraId="5C569E3A">
            <w:pPr>
              <w:autoSpaceDE w:val="0"/>
              <w:autoSpaceDN w:val="0"/>
              <w:adjustRightInd w:val="0"/>
              <w:ind w:left="-2" w:firstLine="2"/>
              <w:jc w:val="center"/>
              <w:rPr>
                <w:rFonts w:ascii="Times New Roman" w:hAnsi="Times New Roman" w:cs="Times New Roman"/>
                <w:sz w:val="24"/>
                <w:szCs w:val="24"/>
                <w:highlight w:val="none"/>
              </w:rPr>
            </w:pPr>
            <w:r>
              <w:rPr>
                <w:rFonts w:ascii="Times New Roman" w:hAnsi="Times New Roman" w:cs="Times New Roman"/>
                <w:sz w:val="24"/>
                <w:szCs w:val="24"/>
                <w:highlight w:val="none"/>
              </w:rPr>
              <w:t>7 рабочих дней с даты подписания заказчиком документа о приемке выполненных работ</w:t>
            </w:r>
          </w:p>
        </w:tc>
        <w:tc>
          <w:tcPr>
            <w:tcW w:w="1134" w:type="dxa"/>
            <w:tcBorders>
              <w:top w:val="single" w:color="auto" w:sz="4" w:space="0"/>
              <w:left w:val="single" w:color="auto" w:sz="4" w:space="0"/>
              <w:bottom w:val="single" w:color="auto" w:sz="4" w:space="0"/>
              <w:right w:val="single" w:color="auto" w:sz="4" w:space="0"/>
            </w:tcBorders>
          </w:tcPr>
          <w:p w14:paraId="4E0F6DFC">
            <w:pPr>
              <w:autoSpaceDE w:val="0"/>
              <w:autoSpaceDN w:val="0"/>
              <w:adjustRightInd w:val="0"/>
              <w:ind w:left="-2" w:firstLine="2"/>
              <w:jc w:val="center"/>
              <w:rPr>
                <w:rFonts w:ascii="Times New Roman" w:hAnsi="Times New Roman" w:cs="Times New Roman"/>
                <w:sz w:val="24"/>
                <w:szCs w:val="24"/>
                <w:highlight w:val="none"/>
              </w:rPr>
            </w:pPr>
            <w:r>
              <w:rPr>
                <w:rFonts w:ascii="Times New Roman" w:hAnsi="Times New Roman" w:cs="Times New Roman"/>
                <w:sz w:val="24"/>
                <w:szCs w:val="24"/>
                <w:highlight w:val="none"/>
              </w:rPr>
              <w:t>0,44%</w:t>
            </w:r>
          </w:p>
        </w:tc>
      </w:tr>
      <w:tr w14:paraId="19A89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tcBorders>
              <w:top w:val="single" w:color="auto" w:sz="4" w:space="0"/>
              <w:left w:val="single" w:color="auto" w:sz="4" w:space="0"/>
              <w:bottom w:val="single" w:color="auto" w:sz="4" w:space="0"/>
              <w:right w:val="single" w:color="auto" w:sz="4" w:space="0"/>
            </w:tcBorders>
          </w:tcPr>
          <w:p w14:paraId="2194A9EA">
            <w:pPr>
              <w:autoSpaceDE w:val="0"/>
              <w:autoSpaceDN w:val="0"/>
              <w:adjustRightInd w:val="0"/>
              <w:ind w:left="-2" w:firstLine="2"/>
              <w:jc w:val="center"/>
              <w:rPr>
                <w:rFonts w:ascii="Times New Roman" w:hAnsi="Times New Roman" w:cs="Times New Roman"/>
                <w:sz w:val="24"/>
                <w:szCs w:val="24"/>
                <w:highlight w:val="none"/>
              </w:rPr>
            </w:pPr>
            <w:r>
              <w:rPr>
                <w:rFonts w:ascii="Times New Roman" w:hAnsi="Times New Roman" w:cs="Times New Roman"/>
                <w:sz w:val="24"/>
                <w:szCs w:val="24"/>
                <w:highlight w:val="none"/>
              </w:rPr>
              <w:t>5</w:t>
            </w:r>
          </w:p>
        </w:tc>
        <w:tc>
          <w:tcPr>
            <w:tcW w:w="1815" w:type="dxa"/>
            <w:tcBorders>
              <w:top w:val="single" w:color="auto" w:sz="4" w:space="0"/>
              <w:left w:val="nil"/>
              <w:bottom w:val="single" w:color="auto" w:sz="4" w:space="0"/>
              <w:right w:val="nil"/>
            </w:tcBorders>
          </w:tcPr>
          <w:p w14:paraId="696996D8">
            <w:pPr>
              <w:spacing w:line="256" w:lineRule="auto"/>
              <w:rPr>
                <w:rFonts w:ascii="Times New Roman" w:hAnsi="Times New Roman" w:cs="Times New Roman"/>
                <w:color w:val="000000"/>
                <w:highlight w:val="none"/>
                <w:lang w:eastAsia="en-US"/>
              </w:rPr>
            </w:pPr>
            <w:r>
              <w:rPr>
                <w:rFonts w:ascii="Times New Roman" w:hAnsi="Times New Roman" w:cs="Times New Roman"/>
                <w:color w:val="000000"/>
                <w:highlight w:val="none"/>
                <w:lang w:eastAsia="en-US"/>
              </w:rPr>
              <w:t>Наружные сети газоснабжения</w:t>
            </w:r>
          </w:p>
        </w:tc>
        <w:tc>
          <w:tcPr>
            <w:tcW w:w="1730" w:type="dxa"/>
            <w:tcBorders>
              <w:top w:val="single" w:color="auto" w:sz="4" w:space="0"/>
              <w:left w:val="single" w:color="auto" w:sz="4" w:space="0"/>
              <w:bottom w:val="single" w:color="auto" w:sz="4" w:space="0"/>
              <w:right w:val="single" w:color="auto" w:sz="4" w:space="0"/>
            </w:tcBorders>
          </w:tcPr>
          <w:p w14:paraId="65D61FBE">
            <w:pPr>
              <w:rPr>
                <w:highlight w:val="none"/>
              </w:rPr>
            </w:pPr>
            <w:r>
              <w:rPr>
                <w:rFonts w:ascii="Times New Roman" w:hAnsi="Times New Roman" w:cs="Times New Roman"/>
                <w:sz w:val="24"/>
                <w:szCs w:val="24"/>
                <w:highlight w:val="none"/>
              </w:rPr>
              <w:t>7 рабочих дней с даты получения документов: - счет на оплату аванса;</w:t>
            </w:r>
          </w:p>
        </w:tc>
        <w:tc>
          <w:tcPr>
            <w:tcW w:w="1276" w:type="dxa"/>
            <w:tcBorders>
              <w:top w:val="single" w:color="auto" w:sz="4" w:space="0"/>
              <w:left w:val="single" w:color="auto" w:sz="4" w:space="0"/>
              <w:bottom w:val="single" w:color="auto" w:sz="4" w:space="0"/>
              <w:right w:val="single" w:color="auto" w:sz="4" w:space="0"/>
            </w:tcBorders>
          </w:tcPr>
          <w:p w14:paraId="636C4A1A">
            <w:pPr>
              <w:rPr>
                <w:highlight w:val="none"/>
              </w:rPr>
            </w:pPr>
          </w:p>
        </w:tc>
        <w:tc>
          <w:tcPr>
            <w:tcW w:w="1559" w:type="dxa"/>
            <w:tcBorders>
              <w:top w:val="single" w:color="auto" w:sz="4" w:space="0"/>
              <w:left w:val="single" w:color="auto" w:sz="4" w:space="0"/>
              <w:bottom w:val="single" w:color="auto" w:sz="4" w:space="0"/>
              <w:right w:val="single" w:color="auto" w:sz="4" w:space="0"/>
            </w:tcBorders>
          </w:tcPr>
          <w:p w14:paraId="2A46A650">
            <w:pPr>
              <w:autoSpaceDE w:val="0"/>
              <w:autoSpaceDN w:val="0"/>
              <w:adjustRightInd w:val="0"/>
              <w:ind w:left="-2" w:firstLine="2"/>
              <w:jc w:val="center"/>
              <w:rPr>
                <w:rFonts w:ascii="Times New Roman" w:hAnsi="Times New Roman" w:cs="Times New Roman"/>
                <w:sz w:val="24"/>
                <w:szCs w:val="24"/>
                <w:highlight w:val="none"/>
              </w:rPr>
            </w:pPr>
            <w:r>
              <w:rPr>
                <w:rFonts w:ascii="Times New Roman" w:hAnsi="Times New Roman" w:cs="Times New Roman"/>
                <w:sz w:val="24"/>
                <w:szCs w:val="24"/>
                <w:highlight w:val="none"/>
              </w:rPr>
              <w:t>По результатам конкурс</w:t>
            </w:r>
          </w:p>
        </w:tc>
        <w:tc>
          <w:tcPr>
            <w:tcW w:w="1844" w:type="dxa"/>
            <w:tcBorders>
              <w:top w:val="single" w:color="auto" w:sz="4" w:space="0"/>
              <w:left w:val="single" w:color="auto" w:sz="4" w:space="0"/>
              <w:bottom w:val="single" w:color="auto" w:sz="4" w:space="0"/>
              <w:right w:val="single" w:color="auto" w:sz="4" w:space="0"/>
            </w:tcBorders>
          </w:tcPr>
          <w:p w14:paraId="333FFF1A">
            <w:pPr>
              <w:autoSpaceDE w:val="0"/>
              <w:autoSpaceDN w:val="0"/>
              <w:adjustRightInd w:val="0"/>
              <w:ind w:left="-2" w:firstLine="2"/>
              <w:jc w:val="center"/>
              <w:rPr>
                <w:rFonts w:ascii="Times New Roman" w:hAnsi="Times New Roman" w:cs="Times New Roman"/>
                <w:sz w:val="24"/>
                <w:szCs w:val="24"/>
                <w:highlight w:val="none"/>
              </w:rPr>
            </w:pPr>
            <w:r>
              <w:rPr>
                <w:rFonts w:ascii="Times New Roman" w:hAnsi="Times New Roman" w:cs="Times New Roman"/>
                <w:sz w:val="24"/>
                <w:szCs w:val="24"/>
                <w:highlight w:val="none"/>
              </w:rPr>
              <w:t>7 рабочих дней с даты подписания заказчиком документа о приемке выполненных работ</w:t>
            </w:r>
          </w:p>
        </w:tc>
        <w:tc>
          <w:tcPr>
            <w:tcW w:w="1134" w:type="dxa"/>
            <w:tcBorders>
              <w:top w:val="single" w:color="auto" w:sz="4" w:space="0"/>
              <w:left w:val="single" w:color="auto" w:sz="4" w:space="0"/>
              <w:bottom w:val="single" w:color="auto" w:sz="4" w:space="0"/>
              <w:right w:val="single" w:color="auto" w:sz="4" w:space="0"/>
            </w:tcBorders>
          </w:tcPr>
          <w:p w14:paraId="799D4C00">
            <w:pPr>
              <w:autoSpaceDE w:val="0"/>
              <w:autoSpaceDN w:val="0"/>
              <w:adjustRightInd w:val="0"/>
              <w:ind w:left="-2" w:firstLine="2"/>
              <w:jc w:val="center"/>
              <w:rPr>
                <w:rFonts w:ascii="Times New Roman" w:hAnsi="Times New Roman" w:cs="Times New Roman"/>
                <w:sz w:val="24"/>
                <w:szCs w:val="24"/>
                <w:highlight w:val="none"/>
              </w:rPr>
            </w:pPr>
            <w:r>
              <w:rPr>
                <w:rFonts w:ascii="Times New Roman" w:hAnsi="Times New Roman" w:cs="Times New Roman"/>
                <w:sz w:val="24"/>
                <w:szCs w:val="24"/>
                <w:highlight w:val="none"/>
              </w:rPr>
              <w:t>0,2%</w:t>
            </w:r>
          </w:p>
        </w:tc>
      </w:tr>
      <w:tr w14:paraId="27781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tcBorders>
              <w:top w:val="single" w:color="auto" w:sz="4" w:space="0"/>
              <w:left w:val="single" w:color="auto" w:sz="4" w:space="0"/>
              <w:bottom w:val="single" w:color="auto" w:sz="4" w:space="0"/>
              <w:right w:val="single" w:color="auto" w:sz="4" w:space="0"/>
            </w:tcBorders>
          </w:tcPr>
          <w:p w14:paraId="4B9D3E86">
            <w:pPr>
              <w:autoSpaceDE w:val="0"/>
              <w:autoSpaceDN w:val="0"/>
              <w:adjustRightInd w:val="0"/>
              <w:ind w:left="-2" w:firstLine="2"/>
              <w:jc w:val="center"/>
              <w:rPr>
                <w:rFonts w:ascii="Times New Roman" w:hAnsi="Times New Roman" w:cs="Times New Roman"/>
                <w:sz w:val="24"/>
                <w:szCs w:val="24"/>
                <w:highlight w:val="none"/>
              </w:rPr>
            </w:pPr>
            <w:r>
              <w:rPr>
                <w:rFonts w:ascii="Times New Roman" w:hAnsi="Times New Roman" w:cs="Times New Roman"/>
                <w:sz w:val="24"/>
                <w:szCs w:val="24"/>
                <w:highlight w:val="none"/>
              </w:rPr>
              <w:t>6</w:t>
            </w:r>
          </w:p>
        </w:tc>
        <w:tc>
          <w:tcPr>
            <w:tcW w:w="1815" w:type="dxa"/>
            <w:tcBorders>
              <w:top w:val="single" w:color="auto" w:sz="4" w:space="0"/>
              <w:left w:val="nil"/>
              <w:bottom w:val="single" w:color="auto" w:sz="4" w:space="0"/>
              <w:right w:val="nil"/>
            </w:tcBorders>
          </w:tcPr>
          <w:p w14:paraId="5EA54A84">
            <w:pPr>
              <w:spacing w:line="256" w:lineRule="auto"/>
              <w:rPr>
                <w:rFonts w:ascii="Times New Roman" w:hAnsi="Times New Roman" w:cs="Times New Roman"/>
                <w:color w:val="000000"/>
                <w:highlight w:val="none"/>
                <w:lang w:eastAsia="en-US"/>
              </w:rPr>
            </w:pPr>
            <w:r>
              <w:rPr>
                <w:rFonts w:ascii="Times New Roman" w:hAnsi="Times New Roman" w:cs="Times New Roman"/>
                <w:color w:val="000000"/>
                <w:highlight w:val="none"/>
                <w:lang w:eastAsia="en-US"/>
              </w:rPr>
              <w:t>Тепловая сеть</w:t>
            </w:r>
          </w:p>
        </w:tc>
        <w:tc>
          <w:tcPr>
            <w:tcW w:w="1730" w:type="dxa"/>
            <w:tcBorders>
              <w:top w:val="single" w:color="auto" w:sz="4" w:space="0"/>
              <w:left w:val="single" w:color="auto" w:sz="4" w:space="0"/>
              <w:bottom w:val="single" w:color="auto" w:sz="4" w:space="0"/>
              <w:right w:val="single" w:color="auto" w:sz="4" w:space="0"/>
            </w:tcBorders>
          </w:tcPr>
          <w:p w14:paraId="6B88EB30">
            <w:pPr>
              <w:rPr>
                <w:highlight w:val="none"/>
              </w:rPr>
            </w:pPr>
            <w:r>
              <w:rPr>
                <w:rFonts w:ascii="Times New Roman" w:hAnsi="Times New Roman" w:cs="Times New Roman"/>
                <w:sz w:val="24"/>
                <w:szCs w:val="24"/>
                <w:highlight w:val="none"/>
              </w:rPr>
              <w:t>7 рабочих дней с даты получения документов: - счет на оплату аванса;</w:t>
            </w:r>
          </w:p>
        </w:tc>
        <w:tc>
          <w:tcPr>
            <w:tcW w:w="1276" w:type="dxa"/>
            <w:tcBorders>
              <w:top w:val="single" w:color="auto" w:sz="4" w:space="0"/>
              <w:left w:val="single" w:color="auto" w:sz="4" w:space="0"/>
              <w:bottom w:val="single" w:color="auto" w:sz="4" w:space="0"/>
              <w:right w:val="single" w:color="auto" w:sz="4" w:space="0"/>
            </w:tcBorders>
          </w:tcPr>
          <w:p w14:paraId="417EA74C">
            <w:pPr>
              <w:rPr>
                <w:highlight w:val="none"/>
              </w:rPr>
            </w:pPr>
          </w:p>
        </w:tc>
        <w:tc>
          <w:tcPr>
            <w:tcW w:w="1559" w:type="dxa"/>
            <w:tcBorders>
              <w:top w:val="single" w:color="auto" w:sz="4" w:space="0"/>
              <w:left w:val="single" w:color="auto" w:sz="4" w:space="0"/>
              <w:bottom w:val="single" w:color="auto" w:sz="4" w:space="0"/>
              <w:right w:val="single" w:color="auto" w:sz="4" w:space="0"/>
            </w:tcBorders>
          </w:tcPr>
          <w:p w14:paraId="111C003B">
            <w:pPr>
              <w:autoSpaceDE w:val="0"/>
              <w:autoSpaceDN w:val="0"/>
              <w:adjustRightInd w:val="0"/>
              <w:ind w:left="-2" w:firstLine="2"/>
              <w:jc w:val="center"/>
              <w:rPr>
                <w:rFonts w:ascii="Times New Roman" w:hAnsi="Times New Roman" w:cs="Times New Roman"/>
                <w:sz w:val="24"/>
                <w:szCs w:val="24"/>
                <w:highlight w:val="none"/>
              </w:rPr>
            </w:pPr>
            <w:r>
              <w:rPr>
                <w:rFonts w:ascii="Times New Roman" w:hAnsi="Times New Roman" w:cs="Times New Roman"/>
                <w:sz w:val="24"/>
                <w:szCs w:val="24"/>
                <w:highlight w:val="none"/>
              </w:rPr>
              <w:t>По результатам конкурс</w:t>
            </w:r>
          </w:p>
        </w:tc>
        <w:tc>
          <w:tcPr>
            <w:tcW w:w="1844" w:type="dxa"/>
            <w:tcBorders>
              <w:top w:val="single" w:color="auto" w:sz="4" w:space="0"/>
              <w:left w:val="single" w:color="auto" w:sz="4" w:space="0"/>
              <w:bottom w:val="single" w:color="auto" w:sz="4" w:space="0"/>
              <w:right w:val="single" w:color="auto" w:sz="4" w:space="0"/>
            </w:tcBorders>
          </w:tcPr>
          <w:p w14:paraId="4E9C5A76">
            <w:pPr>
              <w:autoSpaceDE w:val="0"/>
              <w:autoSpaceDN w:val="0"/>
              <w:adjustRightInd w:val="0"/>
              <w:ind w:left="-2" w:firstLine="2"/>
              <w:jc w:val="center"/>
              <w:rPr>
                <w:rFonts w:ascii="Times New Roman" w:hAnsi="Times New Roman" w:cs="Times New Roman"/>
                <w:sz w:val="24"/>
                <w:szCs w:val="24"/>
                <w:highlight w:val="none"/>
              </w:rPr>
            </w:pPr>
            <w:r>
              <w:rPr>
                <w:rFonts w:ascii="Times New Roman" w:hAnsi="Times New Roman" w:cs="Times New Roman"/>
                <w:sz w:val="24"/>
                <w:szCs w:val="24"/>
                <w:highlight w:val="none"/>
              </w:rPr>
              <w:t>7 рабочих дней с даты подписания заказчиком документа о приемке выполненных работ</w:t>
            </w:r>
          </w:p>
        </w:tc>
        <w:tc>
          <w:tcPr>
            <w:tcW w:w="1134" w:type="dxa"/>
            <w:tcBorders>
              <w:top w:val="single" w:color="auto" w:sz="4" w:space="0"/>
              <w:left w:val="single" w:color="auto" w:sz="4" w:space="0"/>
              <w:bottom w:val="single" w:color="auto" w:sz="4" w:space="0"/>
              <w:right w:val="single" w:color="auto" w:sz="4" w:space="0"/>
            </w:tcBorders>
          </w:tcPr>
          <w:p w14:paraId="711ED3D4">
            <w:pPr>
              <w:autoSpaceDE w:val="0"/>
              <w:autoSpaceDN w:val="0"/>
              <w:adjustRightInd w:val="0"/>
              <w:ind w:left="-2" w:firstLine="2"/>
              <w:jc w:val="center"/>
              <w:rPr>
                <w:rFonts w:ascii="Times New Roman" w:hAnsi="Times New Roman" w:cs="Times New Roman"/>
                <w:sz w:val="24"/>
                <w:szCs w:val="24"/>
                <w:highlight w:val="none"/>
              </w:rPr>
            </w:pPr>
            <w:r>
              <w:rPr>
                <w:rFonts w:ascii="Times New Roman" w:hAnsi="Times New Roman" w:cs="Times New Roman"/>
                <w:sz w:val="24"/>
                <w:szCs w:val="24"/>
                <w:highlight w:val="none"/>
              </w:rPr>
              <w:t>0,4%</w:t>
            </w:r>
          </w:p>
          <w:p w14:paraId="1E071AEB">
            <w:pPr>
              <w:autoSpaceDE w:val="0"/>
              <w:autoSpaceDN w:val="0"/>
              <w:adjustRightInd w:val="0"/>
              <w:ind w:left="-2" w:firstLine="2"/>
              <w:jc w:val="center"/>
              <w:rPr>
                <w:rFonts w:ascii="Times New Roman" w:hAnsi="Times New Roman" w:cs="Times New Roman"/>
                <w:sz w:val="24"/>
                <w:szCs w:val="24"/>
                <w:highlight w:val="none"/>
              </w:rPr>
            </w:pPr>
          </w:p>
        </w:tc>
      </w:tr>
      <w:tr w14:paraId="600CF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tcBorders>
              <w:top w:val="single" w:color="auto" w:sz="4" w:space="0"/>
              <w:left w:val="single" w:color="auto" w:sz="4" w:space="0"/>
              <w:bottom w:val="single" w:color="auto" w:sz="4" w:space="0"/>
              <w:right w:val="single" w:color="auto" w:sz="4" w:space="0"/>
            </w:tcBorders>
          </w:tcPr>
          <w:p w14:paraId="209FC48B">
            <w:pPr>
              <w:autoSpaceDE w:val="0"/>
              <w:autoSpaceDN w:val="0"/>
              <w:adjustRightInd w:val="0"/>
              <w:ind w:left="-2" w:firstLine="2"/>
              <w:jc w:val="center"/>
              <w:rPr>
                <w:rFonts w:ascii="Times New Roman" w:hAnsi="Times New Roman" w:cs="Times New Roman"/>
                <w:sz w:val="24"/>
                <w:szCs w:val="24"/>
                <w:highlight w:val="none"/>
              </w:rPr>
            </w:pPr>
            <w:r>
              <w:rPr>
                <w:rFonts w:ascii="Times New Roman" w:hAnsi="Times New Roman" w:cs="Times New Roman"/>
                <w:sz w:val="24"/>
                <w:szCs w:val="24"/>
                <w:highlight w:val="none"/>
              </w:rPr>
              <w:t>7</w:t>
            </w:r>
          </w:p>
        </w:tc>
        <w:tc>
          <w:tcPr>
            <w:tcW w:w="1815" w:type="dxa"/>
            <w:tcBorders>
              <w:top w:val="single" w:color="auto" w:sz="4" w:space="0"/>
              <w:left w:val="nil"/>
              <w:bottom w:val="single" w:color="auto" w:sz="4" w:space="0"/>
              <w:right w:val="nil"/>
            </w:tcBorders>
          </w:tcPr>
          <w:p w14:paraId="35B9D301">
            <w:pPr>
              <w:spacing w:line="256" w:lineRule="auto"/>
              <w:rPr>
                <w:rFonts w:ascii="Times New Roman" w:hAnsi="Times New Roman" w:cs="Times New Roman"/>
                <w:color w:val="000000"/>
                <w:highlight w:val="none"/>
                <w:lang w:eastAsia="en-US"/>
              </w:rPr>
            </w:pPr>
            <w:r>
              <w:rPr>
                <w:rFonts w:ascii="Times New Roman" w:hAnsi="Times New Roman" w:cs="Times New Roman"/>
                <w:color w:val="000000"/>
                <w:highlight w:val="none"/>
                <w:lang w:eastAsia="en-US"/>
              </w:rPr>
              <w:t>Блочно-модульная котельная</w:t>
            </w:r>
          </w:p>
        </w:tc>
        <w:tc>
          <w:tcPr>
            <w:tcW w:w="1730" w:type="dxa"/>
            <w:tcBorders>
              <w:top w:val="single" w:color="auto" w:sz="4" w:space="0"/>
              <w:left w:val="single" w:color="auto" w:sz="4" w:space="0"/>
              <w:bottom w:val="single" w:color="auto" w:sz="4" w:space="0"/>
              <w:right w:val="single" w:color="auto" w:sz="4" w:space="0"/>
            </w:tcBorders>
          </w:tcPr>
          <w:p w14:paraId="3EAF6062">
            <w:pPr>
              <w:rPr>
                <w:highlight w:val="none"/>
              </w:rPr>
            </w:pPr>
            <w:r>
              <w:rPr>
                <w:rFonts w:ascii="Times New Roman" w:hAnsi="Times New Roman" w:cs="Times New Roman"/>
                <w:sz w:val="24"/>
                <w:szCs w:val="24"/>
                <w:highlight w:val="none"/>
              </w:rPr>
              <w:t>7 рабочих дней с даты получения документов: - счет на оплату аванса;</w:t>
            </w:r>
          </w:p>
        </w:tc>
        <w:tc>
          <w:tcPr>
            <w:tcW w:w="1276" w:type="dxa"/>
            <w:tcBorders>
              <w:top w:val="single" w:color="auto" w:sz="4" w:space="0"/>
              <w:left w:val="single" w:color="auto" w:sz="4" w:space="0"/>
              <w:bottom w:val="single" w:color="auto" w:sz="4" w:space="0"/>
              <w:right w:val="single" w:color="auto" w:sz="4" w:space="0"/>
            </w:tcBorders>
          </w:tcPr>
          <w:p w14:paraId="5B75FB7D">
            <w:pPr>
              <w:rPr>
                <w:highlight w:val="none"/>
              </w:rPr>
            </w:pPr>
          </w:p>
        </w:tc>
        <w:tc>
          <w:tcPr>
            <w:tcW w:w="1559" w:type="dxa"/>
            <w:tcBorders>
              <w:top w:val="single" w:color="auto" w:sz="4" w:space="0"/>
              <w:left w:val="single" w:color="auto" w:sz="4" w:space="0"/>
              <w:bottom w:val="single" w:color="auto" w:sz="4" w:space="0"/>
              <w:right w:val="single" w:color="auto" w:sz="4" w:space="0"/>
            </w:tcBorders>
          </w:tcPr>
          <w:p w14:paraId="1473A9EC">
            <w:pPr>
              <w:autoSpaceDE w:val="0"/>
              <w:autoSpaceDN w:val="0"/>
              <w:adjustRightInd w:val="0"/>
              <w:ind w:left="-2" w:firstLine="2"/>
              <w:jc w:val="center"/>
              <w:rPr>
                <w:rFonts w:ascii="Times New Roman" w:hAnsi="Times New Roman" w:cs="Times New Roman"/>
                <w:sz w:val="24"/>
                <w:szCs w:val="24"/>
                <w:highlight w:val="none"/>
              </w:rPr>
            </w:pPr>
            <w:r>
              <w:rPr>
                <w:rFonts w:ascii="Times New Roman" w:hAnsi="Times New Roman" w:cs="Times New Roman"/>
                <w:sz w:val="24"/>
                <w:szCs w:val="24"/>
                <w:highlight w:val="none"/>
              </w:rPr>
              <w:t>По результатам конкурс</w:t>
            </w:r>
          </w:p>
        </w:tc>
        <w:tc>
          <w:tcPr>
            <w:tcW w:w="1844" w:type="dxa"/>
            <w:tcBorders>
              <w:top w:val="single" w:color="auto" w:sz="4" w:space="0"/>
              <w:left w:val="single" w:color="auto" w:sz="4" w:space="0"/>
              <w:bottom w:val="single" w:color="auto" w:sz="4" w:space="0"/>
              <w:right w:val="single" w:color="auto" w:sz="4" w:space="0"/>
            </w:tcBorders>
          </w:tcPr>
          <w:p w14:paraId="6AF88D02">
            <w:pPr>
              <w:autoSpaceDE w:val="0"/>
              <w:autoSpaceDN w:val="0"/>
              <w:adjustRightInd w:val="0"/>
              <w:ind w:left="-2" w:firstLine="2"/>
              <w:jc w:val="center"/>
              <w:rPr>
                <w:rFonts w:ascii="Times New Roman" w:hAnsi="Times New Roman" w:cs="Times New Roman"/>
                <w:sz w:val="24"/>
                <w:szCs w:val="24"/>
                <w:highlight w:val="none"/>
              </w:rPr>
            </w:pPr>
            <w:r>
              <w:rPr>
                <w:rFonts w:ascii="Times New Roman" w:hAnsi="Times New Roman" w:cs="Times New Roman"/>
                <w:sz w:val="24"/>
                <w:szCs w:val="24"/>
                <w:highlight w:val="none"/>
              </w:rPr>
              <w:t>7 рабочих дней с даты подписания заказчиком документа о приемке выполненных работ</w:t>
            </w:r>
          </w:p>
        </w:tc>
        <w:tc>
          <w:tcPr>
            <w:tcW w:w="1134" w:type="dxa"/>
            <w:tcBorders>
              <w:top w:val="single" w:color="auto" w:sz="4" w:space="0"/>
              <w:left w:val="single" w:color="auto" w:sz="4" w:space="0"/>
              <w:bottom w:val="single" w:color="auto" w:sz="4" w:space="0"/>
              <w:right w:val="single" w:color="auto" w:sz="4" w:space="0"/>
            </w:tcBorders>
          </w:tcPr>
          <w:p w14:paraId="6FB3A749">
            <w:pPr>
              <w:autoSpaceDE w:val="0"/>
              <w:autoSpaceDN w:val="0"/>
              <w:adjustRightInd w:val="0"/>
              <w:ind w:left="-2" w:firstLine="2"/>
              <w:jc w:val="center"/>
              <w:rPr>
                <w:rFonts w:ascii="Times New Roman" w:hAnsi="Times New Roman" w:cs="Times New Roman"/>
                <w:sz w:val="24"/>
                <w:szCs w:val="24"/>
                <w:highlight w:val="none"/>
                <w:lang w:val="en-US"/>
              </w:rPr>
            </w:pPr>
            <w:r>
              <w:rPr>
                <w:rFonts w:ascii="Times New Roman" w:hAnsi="Times New Roman" w:cs="Times New Roman"/>
                <w:sz w:val="24"/>
                <w:szCs w:val="24"/>
                <w:highlight w:val="none"/>
              </w:rPr>
              <w:t>4,75</w:t>
            </w:r>
            <w:r>
              <w:rPr>
                <w:rFonts w:ascii="Times New Roman" w:hAnsi="Times New Roman" w:cs="Times New Roman"/>
                <w:sz w:val="24"/>
                <w:szCs w:val="24"/>
                <w:highlight w:val="none"/>
                <w:lang w:val="en-US"/>
              </w:rPr>
              <w:t>%</w:t>
            </w:r>
          </w:p>
        </w:tc>
      </w:tr>
      <w:tr w14:paraId="6A8B0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tcBorders>
              <w:top w:val="single" w:color="auto" w:sz="4" w:space="0"/>
              <w:left w:val="single" w:color="auto" w:sz="4" w:space="0"/>
              <w:bottom w:val="single" w:color="auto" w:sz="4" w:space="0"/>
              <w:right w:val="single" w:color="auto" w:sz="4" w:space="0"/>
            </w:tcBorders>
          </w:tcPr>
          <w:p w14:paraId="6A833CBD">
            <w:pPr>
              <w:autoSpaceDE w:val="0"/>
              <w:autoSpaceDN w:val="0"/>
              <w:adjustRightInd w:val="0"/>
              <w:ind w:left="-2" w:firstLine="2"/>
              <w:jc w:val="center"/>
              <w:rPr>
                <w:rFonts w:ascii="Times New Roman" w:hAnsi="Times New Roman" w:cs="Times New Roman"/>
                <w:sz w:val="24"/>
                <w:szCs w:val="24"/>
                <w:highlight w:val="none"/>
              </w:rPr>
            </w:pPr>
            <w:r>
              <w:rPr>
                <w:rFonts w:ascii="Times New Roman" w:hAnsi="Times New Roman" w:cs="Times New Roman"/>
                <w:sz w:val="24"/>
                <w:szCs w:val="24"/>
                <w:highlight w:val="none"/>
              </w:rPr>
              <w:t>8</w:t>
            </w:r>
          </w:p>
        </w:tc>
        <w:tc>
          <w:tcPr>
            <w:tcW w:w="1815" w:type="dxa"/>
            <w:tcBorders>
              <w:top w:val="single" w:color="auto" w:sz="4" w:space="0"/>
              <w:left w:val="nil"/>
              <w:bottom w:val="single" w:color="auto" w:sz="4" w:space="0"/>
              <w:right w:val="nil"/>
            </w:tcBorders>
          </w:tcPr>
          <w:p w14:paraId="1BBDD121">
            <w:pPr>
              <w:spacing w:line="256" w:lineRule="auto"/>
              <w:rPr>
                <w:rFonts w:ascii="Times New Roman" w:hAnsi="Times New Roman" w:cs="Times New Roman"/>
                <w:color w:val="000000"/>
                <w:highlight w:val="none"/>
                <w:lang w:eastAsia="en-US"/>
              </w:rPr>
            </w:pPr>
            <w:r>
              <w:rPr>
                <w:rFonts w:ascii="Times New Roman" w:hAnsi="Times New Roman" w:cs="Times New Roman"/>
                <w:color w:val="000000"/>
                <w:highlight w:val="none"/>
                <w:lang w:eastAsia="en-US"/>
              </w:rPr>
              <w:t>Вертикальная планировка</w:t>
            </w:r>
          </w:p>
        </w:tc>
        <w:tc>
          <w:tcPr>
            <w:tcW w:w="1730" w:type="dxa"/>
            <w:tcBorders>
              <w:top w:val="single" w:color="auto" w:sz="4" w:space="0"/>
              <w:left w:val="single" w:color="auto" w:sz="4" w:space="0"/>
              <w:bottom w:val="single" w:color="auto" w:sz="4" w:space="0"/>
              <w:right w:val="single" w:color="auto" w:sz="4" w:space="0"/>
            </w:tcBorders>
          </w:tcPr>
          <w:p w14:paraId="0ACD50AC">
            <w:pPr>
              <w:rPr>
                <w:highlight w:val="none"/>
              </w:rPr>
            </w:pPr>
            <w:r>
              <w:rPr>
                <w:rFonts w:ascii="Times New Roman" w:hAnsi="Times New Roman" w:cs="Times New Roman"/>
                <w:sz w:val="24"/>
                <w:szCs w:val="24"/>
                <w:highlight w:val="none"/>
              </w:rPr>
              <w:t>7 рабочих дней с даты получения документов: - счет на оплату аванса;</w:t>
            </w:r>
          </w:p>
        </w:tc>
        <w:tc>
          <w:tcPr>
            <w:tcW w:w="1276" w:type="dxa"/>
            <w:tcBorders>
              <w:top w:val="single" w:color="auto" w:sz="4" w:space="0"/>
              <w:left w:val="single" w:color="auto" w:sz="4" w:space="0"/>
              <w:bottom w:val="single" w:color="auto" w:sz="4" w:space="0"/>
              <w:right w:val="single" w:color="auto" w:sz="4" w:space="0"/>
            </w:tcBorders>
          </w:tcPr>
          <w:p w14:paraId="6D5C7FB1">
            <w:pPr>
              <w:rPr>
                <w:highlight w:val="none"/>
              </w:rPr>
            </w:pPr>
          </w:p>
        </w:tc>
        <w:tc>
          <w:tcPr>
            <w:tcW w:w="1559" w:type="dxa"/>
            <w:tcBorders>
              <w:top w:val="single" w:color="auto" w:sz="4" w:space="0"/>
              <w:left w:val="single" w:color="auto" w:sz="4" w:space="0"/>
              <w:bottom w:val="single" w:color="auto" w:sz="4" w:space="0"/>
              <w:right w:val="single" w:color="auto" w:sz="4" w:space="0"/>
            </w:tcBorders>
          </w:tcPr>
          <w:p w14:paraId="639B4367">
            <w:pPr>
              <w:autoSpaceDE w:val="0"/>
              <w:autoSpaceDN w:val="0"/>
              <w:adjustRightInd w:val="0"/>
              <w:ind w:left="-2" w:firstLine="2"/>
              <w:jc w:val="center"/>
              <w:rPr>
                <w:rFonts w:ascii="Times New Roman" w:hAnsi="Times New Roman" w:cs="Times New Roman"/>
                <w:sz w:val="24"/>
                <w:szCs w:val="24"/>
                <w:highlight w:val="none"/>
              </w:rPr>
            </w:pPr>
            <w:r>
              <w:rPr>
                <w:rFonts w:ascii="Times New Roman" w:hAnsi="Times New Roman" w:cs="Times New Roman"/>
                <w:sz w:val="24"/>
                <w:szCs w:val="24"/>
                <w:highlight w:val="none"/>
              </w:rPr>
              <w:t>По результатам конкурс</w:t>
            </w:r>
          </w:p>
        </w:tc>
        <w:tc>
          <w:tcPr>
            <w:tcW w:w="1844" w:type="dxa"/>
            <w:tcBorders>
              <w:top w:val="single" w:color="auto" w:sz="4" w:space="0"/>
              <w:left w:val="single" w:color="auto" w:sz="4" w:space="0"/>
              <w:bottom w:val="single" w:color="auto" w:sz="4" w:space="0"/>
              <w:right w:val="single" w:color="auto" w:sz="4" w:space="0"/>
            </w:tcBorders>
          </w:tcPr>
          <w:p w14:paraId="37D93C2E">
            <w:pPr>
              <w:autoSpaceDE w:val="0"/>
              <w:autoSpaceDN w:val="0"/>
              <w:adjustRightInd w:val="0"/>
              <w:ind w:left="-2" w:firstLine="2"/>
              <w:jc w:val="center"/>
              <w:rPr>
                <w:rFonts w:ascii="Times New Roman" w:hAnsi="Times New Roman" w:cs="Times New Roman"/>
                <w:sz w:val="24"/>
                <w:szCs w:val="24"/>
                <w:highlight w:val="none"/>
              </w:rPr>
            </w:pPr>
            <w:r>
              <w:rPr>
                <w:rFonts w:ascii="Times New Roman" w:hAnsi="Times New Roman" w:cs="Times New Roman"/>
                <w:sz w:val="24"/>
                <w:szCs w:val="24"/>
                <w:highlight w:val="none"/>
              </w:rPr>
              <w:t>7 рабочих дней с даты подписания заказчиком документа о приемке выполненных работ</w:t>
            </w:r>
          </w:p>
        </w:tc>
        <w:tc>
          <w:tcPr>
            <w:tcW w:w="1134" w:type="dxa"/>
            <w:tcBorders>
              <w:top w:val="single" w:color="auto" w:sz="4" w:space="0"/>
              <w:left w:val="single" w:color="auto" w:sz="4" w:space="0"/>
              <w:bottom w:val="single" w:color="auto" w:sz="4" w:space="0"/>
              <w:right w:val="single" w:color="auto" w:sz="4" w:space="0"/>
            </w:tcBorders>
          </w:tcPr>
          <w:p w14:paraId="2F1D5574">
            <w:pPr>
              <w:autoSpaceDE w:val="0"/>
              <w:autoSpaceDN w:val="0"/>
              <w:adjustRightInd w:val="0"/>
              <w:ind w:left="-2" w:firstLine="2"/>
              <w:jc w:val="center"/>
              <w:rPr>
                <w:rFonts w:ascii="Times New Roman" w:hAnsi="Times New Roman" w:cs="Times New Roman"/>
                <w:sz w:val="24"/>
                <w:szCs w:val="24"/>
                <w:highlight w:val="none"/>
                <w:lang w:val="en-US"/>
              </w:rPr>
            </w:pPr>
            <w:r>
              <w:rPr>
                <w:rFonts w:ascii="Times New Roman" w:hAnsi="Times New Roman" w:cs="Times New Roman"/>
                <w:sz w:val="24"/>
                <w:szCs w:val="24"/>
                <w:highlight w:val="none"/>
              </w:rPr>
              <w:t>2,42</w:t>
            </w:r>
            <w:r>
              <w:rPr>
                <w:rFonts w:ascii="Times New Roman" w:hAnsi="Times New Roman" w:cs="Times New Roman"/>
                <w:sz w:val="24"/>
                <w:szCs w:val="24"/>
                <w:highlight w:val="none"/>
                <w:lang w:val="en-US"/>
              </w:rPr>
              <w:t>%</w:t>
            </w:r>
          </w:p>
        </w:tc>
      </w:tr>
      <w:tr w14:paraId="3DCDD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tcBorders>
              <w:top w:val="single" w:color="auto" w:sz="4" w:space="0"/>
              <w:left w:val="single" w:color="auto" w:sz="4" w:space="0"/>
              <w:bottom w:val="single" w:color="auto" w:sz="4" w:space="0"/>
              <w:right w:val="single" w:color="auto" w:sz="4" w:space="0"/>
            </w:tcBorders>
          </w:tcPr>
          <w:p w14:paraId="01788BF6">
            <w:pPr>
              <w:autoSpaceDE w:val="0"/>
              <w:autoSpaceDN w:val="0"/>
              <w:adjustRightInd w:val="0"/>
              <w:ind w:left="-2" w:firstLine="2"/>
              <w:jc w:val="center"/>
              <w:rPr>
                <w:rFonts w:ascii="Times New Roman" w:hAnsi="Times New Roman" w:cs="Times New Roman"/>
                <w:sz w:val="24"/>
                <w:szCs w:val="24"/>
                <w:highlight w:val="none"/>
              </w:rPr>
            </w:pPr>
            <w:r>
              <w:rPr>
                <w:rFonts w:ascii="Times New Roman" w:hAnsi="Times New Roman" w:cs="Times New Roman"/>
                <w:sz w:val="24"/>
                <w:szCs w:val="24"/>
                <w:highlight w:val="none"/>
              </w:rPr>
              <w:t>9</w:t>
            </w:r>
          </w:p>
        </w:tc>
        <w:tc>
          <w:tcPr>
            <w:tcW w:w="1815" w:type="dxa"/>
            <w:tcBorders>
              <w:top w:val="single" w:color="auto" w:sz="4" w:space="0"/>
              <w:left w:val="nil"/>
              <w:bottom w:val="single" w:color="auto" w:sz="4" w:space="0"/>
              <w:right w:val="nil"/>
            </w:tcBorders>
          </w:tcPr>
          <w:p w14:paraId="33E9A2B7">
            <w:pPr>
              <w:spacing w:line="256" w:lineRule="auto"/>
              <w:rPr>
                <w:rFonts w:ascii="Times New Roman" w:hAnsi="Times New Roman" w:cs="Times New Roman"/>
                <w:color w:val="000000"/>
                <w:highlight w:val="none"/>
                <w:lang w:eastAsia="en-US"/>
              </w:rPr>
            </w:pPr>
            <w:r>
              <w:rPr>
                <w:rFonts w:ascii="Times New Roman" w:hAnsi="Times New Roman" w:cs="Times New Roman"/>
                <w:color w:val="000000"/>
                <w:highlight w:val="none"/>
                <w:lang w:eastAsia="en-US"/>
              </w:rPr>
              <w:t>Покрытия проездов и площадок</w:t>
            </w:r>
          </w:p>
        </w:tc>
        <w:tc>
          <w:tcPr>
            <w:tcW w:w="1730" w:type="dxa"/>
            <w:tcBorders>
              <w:top w:val="single" w:color="auto" w:sz="4" w:space="0"/>
              <w:left w:val="single" w:color="auto" w:sz="4" w:space="0"/>
              <w:bottom w:val="single" w:color="auto" w:sz="4" w:space="0"/>
              <w:right w:val="single" w:color="auto" w:sz="4" w:space="0"/>
            </w:tcBorders>
          </w:tcPr>
          <w:p w14:paraId="356C0B89">
            <w:pPr>
              <w:rPr>
                <w:highlight w:val="none"/>
              </w:rPr>
            </w:pPr>
            <w:r>
              <w:rPr>
                <w:rFonts w:ascii="Times New Roman" w:hAnsi="Times New Roman" w:cs="Times New Roman"/>
                <w:sz w:val="24"/>
                <w:szCs w:val="24"/>
                <w:highlight w:val="none"/>
              </w:rPr>
              <w:t>7 рабочих дней с даты получения документов: - счет на оплату аванса;</w:t>
            </w:r>
          </w:p>
        </w:tc>
        <w:tc>
          <w:tcPr>
            <w:tcW w:w="1276" w:type="dxa"/>
            <w:tcBorders>
              <w:top w:val="single" w:color="auto" w:sz="4" w:space="0"/>
              <w:left w:val="single" w:color="auto" w:sz="4" w:space="0"/>
              <w:bottom w:val="single" w:color="auto" w:sz="4" w:space="0"/>
              <w:right w:val="single" w:color="auto" w:sz="4" w:space="0"/>
            </w:tcBorders>
          </w:tcPr>
          <w:p w14:paraId="2BFB8CD6">
            <w:pPr>
              <w:rPr>
                <w:highlight w:val="none"/>
              </w:rPr>
            </w:pPr>
          </w:p>
        </w:tc>
        <w:tc>
          <w:tcPr>
            <w:tcW w:w="1559" w:type="dxa"/>
            <w:tcBorders>
              <w:top w:val="single" w:color="auto" w:sz="4" w:space="0"/>
              <w:left w:val="single" w:color="auto" w:sz="4" w:space="0"/>
              <w:bottom w:val="single" w:color="auto" w:sz="4" w:space="0"/>
              <w:right w:val="single" w:color="auto" w:sz="4" w:space="0"/>
            </w:tcBorders>
          </w:tcPr>
          <w:p w14:paraId="5542B6CD">
            <w:pPr>
              <w:autoSpaceDE w:val="0"/>
              <w:autoSpaceDN w:val="0"/>
              <w:adjustRightInd w:val="0"/>
              <w:ind w:left="-2" w:firstLine="2"/>
              <w:jc w:val="center"/>
              <w:rPr>
                <w:rFonts w:ascii="Times New Roman" w:hAnsi="Times New Roman" w:cs="Times New Roman"/>
                <w:sz w:val="24"/>
                <w:szCs w:val="24"/>
                <w:highlight w:val="none"/>
              </w:rPr>
            </w:pPr>
            <w:r>
              <w:rPr>
                <w:rFonts w:ascii="Times New Roman" w:hAnsi="Times New Roman" w:cs="Times New Roman"/>
                <w:sz w:val="24"/>
                <w:szCs w:val="24"/>
                <w:highlight w:val="none"/>
              </w:rPr>
              <w:t>По результатам конкурс</w:t>
            </w:r>
          </w:p>
        </w:tc>
        <w:tc>
          <w:tcPr>
            <w:tcW w:w="1844" w:type="dxa"/>
            <w:tcBorders>
              <w:top w:val="single" w:color="auto" w:sz="4" w:space="0"/>
              <w:left w:val="single" w:color="auto" w:sz="4" w:space="0"/>
              <w:bottom w:val="single" w:color="auto" w:sz="4" w:space="0"/>
              <w:right w:val="single" w:color="auto" w:sz="4" w:space="0"/>
            </w:tcBorders>
          </w:tcPr>
          <w:p w14:paraId="23DBE0FA">
            <w:pPr>
              <w:autoSpaceDE w:val="0"/>
              <w:autoSpaceDN w:val="0"/>
              <w:adjustRightInd w:val="0"/>
              <w:ind w:left="-2" w:firstLine="2"/>
              <w:jc w:val="center"/>
              <w:rPr>
                <w:rFonts w:ascii="Times New Roman" w:hAnsi="Times New Roman" w:cs="Times New Roman"/>
                <w:sz w:val="24"/>
                <w:szCs w:val="24"/>
                <w:highlight w:val="none"/>
              </w:rPr>
            </w:pPr>
            <w:r>
              <w:rPr>
                <w:rFonts w:ascii="Times New Roman" w:hAnsi="Times New Roman" w:cs="Times New Roman"/>
                <w:sz w:val="24"/>
                <w:szCs w:val="24"/>
                <w:highlight w:val="none"/>
              </w:rPr>
              <w:t>7 рабочих дней с даты подписания заказчиком документа о приемке выполненных работ</w:t>
            </w:r>
          </w:p>
        </w:tc>
        <w:tc>
          <w:tcPr>
            <w:tcW w:w="1134" w:type="dxa"/>
            <w:tcBorders>
              <w:top w:val="single" w:color="auto" w:sz="4" w:space="0"/>
              <w:left w:val="single" w:color="auto" w:sz="4" w:space="0"/>
              <w:bottom w:val="single" w:color="auto" w:sz="4" w:space="0"/>
              <w:right w:val="single" w:color="auto" w:sz="4" w:space="0"/>
            </w:tcBorders>
          </w:tcPr>
          <w:p w14:paraId="09188332">
            <w:pPr>
              <w:autoSpaceDE w:val="0"/>
              <w:autoSpaceDN w:val="0"/>
              <w:adjustRightInd w:val="0"/>
              <w:ind w:left="-2" w:firstLine="2"/>
              <w:jc w:val="center"/>
              <w:rPr>
                <w:rFonts w:ascii="Times New Roman" w:hAnsi="Times New Roman" w:cs="Times New Roman"/>
                <w:sz w:val="24"/>
                <w:szCs w:val="24"/>
                <w:highlight w:val="none"/>
              </w:rPr>
            </w:pPr>
            <w:r>
              <w:rPr>
                <w:rFonts w:ascii="Times New Roman" w:hAnsi="Times New Roman" w:cs="Times New Roman"/>
                <w:sz w:val="24"/>
                <w:szCs w:val="24"/>
                <w:highlight w:val="none"/>
              </w:rPr>
              <w:t>3,65%</w:t>
            </w:r>
          </w:p>
        </w:tc>
      </w:tr>
      <w:tr w14:paraId="20628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tcBorders>
              <w:top w:val="single" w:color="auto" w:sz="4" w:space="0"/>
              <w:left w:val="single" w:color="auto" w:sz="4" w:space="0"/>
              <w:bottom w:val="single" w:color="auto" w:sz="4" w:space="0"/>
              <w:right w:val="single" w:color="auto" w:sz="4" w:space="0"/>
            </w:tcBorders>
          </w:tcPr>
          <w:p w14:paraId="09BA847B">
            <w:pPr>
              <w:autoSpaceDE w:val="0"/>
              <w:autoSpaceDN w:val="0"/>
              <w:adjustRightInd w:val="0"/>
              <w:ind w:left="-2" w:firstLine="2"/>
              <w:jc w:val="center"/>
              <w:rPr>
                <w:rFonts w:ascii="Times New Roman" w:hAnsi="Times New Roman" w:cs="Times New Roman"/>
                <w:sz w:val="24"/>
                <w:szCs w:val="24"/>
                <w:highlight w:val="none"/>
              </w:rPr>
            </w:pPr>
            <w:r>
              <w:rPr>
                <w:rFonts w:ascii="Times New Roman" w:hAnsi="Times New Roman" w:cs="Times New Roman"/>
                <w:sz w:val="24"/>
                <w:szCs w:val="24"/>
                <w:highlight w:val="none"/>
              </w:rPr>
              <w:t>10</w:t>
            </w:r>
          </w:p>
        </w:tc>
        <w:tc>
          <w:tcPr>
            <w:tcW w:w="1815" w:type="dxa"/>
            <w:tcBorders>
              <w:top w:val="single" w:color="auto" w:sz="4" w:space="0"/>
              <w:left w:val="nil"/>
              <w:bottom w:val="single" w:color="auto" w:sz="4" w:space="0"/>
              <w:right w:val="nil"/>
            </w:tcBorders>
          </w:tcPr>
          <w:p w14:paraId="620E83A9">
            <w:pPr>
              <w:spacing w:line="256" w:lineRule="auto"/>
              <w:rPr>
                <w:rFonts w:ascii="Times New Roman" w:hAnsi="Times New Roman" w:cs="Times New Roman"/>
                <w:color w:val="000000"/>
                <w:highlight w:val="none"/>
                <w:lang w:eastAsia="en-US"/>
              </w:rPr>
            </w:pPr>
            <w:r>
              <w:rPr>
                <w:rFonts w:ascii="Times New Roman" w:hAnsi="Times New Roman" w:cs="Times New Roman"/>
                <w:color w:val="000000"/>
                <w:highlight w:val="none"/>
                <w:lang w:eastAsia="en-US"/>
              </w:rPr>
              <w:t>Озеленение</w:t>
            </w:r>
          </w:p>
        </w:tc>
        <w:tc>
          <w:tcPr>
            <w:tcW w:w="1730" w:type="dxa"/>
            <w:tcBorders>
              <w:top w:val="single" w:color="auto" w:sz="4" w:space="0"/>
              <w:left w:val="single" w:color="auto" w:sz="4" w:space="0"/>
              <w:bottom w:val="single" w:color="auto" w:sz="4" w:space="0"/>
              <w:right w:val="single" w:color="auto" w:sz="4" w:space="0"/>
            </w:tcBorders>
          </w:tcPr>
          <w:p w14:paraId="3D73D3DF">
            <w:pPr>
              <w:rPr>
                <w:highlight w:val="none"/>
              </w:rPr>
            </w:pPr>
            <w:r>
              <w:rPr>
                <w:rFonts w:ascii="Times New Roman" w:hAnsi="Times New Roman" w:cs="Times New Roman"/>
                <w:sz w:val="24"/>
                <w:szCs w:val="24"/>
                <w:highlight w:val="none"/>
              </w:rPr>
              <w:t>7 рабочих дней с даты получения документов: - счет на оплату аванса;</w:t>
            </w:r>
          </w:p>
        </w:tc>
        <w:tc>
          <w:tcPr>
            <w:tcW w:w="1276" w:type="dxa"/>
            <w:tcBorders>
              <w:top w:val="single" w:color="auto" w:sz="4" w:space="0"/>
              <w:left w:val="single" w:color="auto" w:sz="4" w:space="0"/>
              <w:bottom w:val="single" w:color="auto" w:sz="4" w:space="0"/>
              <w:right w:val="single" w:color="auto" w:sz="4" w:space="0"/>
            </w:tcBorders>
          </w:tcPr>
          <w:p w14:paraId="00DACA83">
            <w:pPr>
              <w:rPr>
                <w:highlight w:val="none"/>
              </w:rPr>
            </w:pPr>
          </w:p>
        </w:tc>
        <w:tc>
          <w:tcPr>
            <w:tcW w:w="1559" w:type="dxa"/>
            <w:tcBorders>
              <w:top w:val="single" w:color="auto" w:sz="4" w:space="0"/>
              <w:left w:val="single" w:color="auto" w:sz="4" w:space="0"/>
              <w:bottom w:val="single" w:color="auto" w:sz="4" w:space="0"/>
              <w:right w:val="single" w:color="auto" w:sz="4" w:space="0"/>
            </w:tcBorders>
          </w:tcPr>
          <w:p w14:paraId="0BF1A7D2">
            <w:pPr>
              <w:autoSpaceDE w:val="0"/>
              <w:autoSpaceDN w:val="0"/>
              <w:adjustRightInd w:val="0"/>
              <w:ind w:left="-2" w:firstLine="2"/>
              <w:jc w:val="center"/>
              <w:rPr>
                <w:rFonts w:ascii="Times New Roman" w:hAnsi="Times New Roman" w:cs="Times New Roman"/>
                <w:sz w:val="24"/>
                <w:szCs w:val="24"/>
                <w:highlight w:val="none"/>
              </w:rPr>
            </w:pPr>
            <w:r>
              <w:rPr>
                <w:rFonts w:ascii="Times New Roman" w:hAnsi="Times New Roman" w:cs="Times New Roman"/>
                <w:sz w:val="24"/>
                <w:szCs w:val="24"/>
                <w:highlight w:val="none"/>
              </w:rPr>
              <w:t>По результатам конкурс</w:t>
            </w:r>
          </w:p>
        </w:tc>
        <w:tc>
          <w:tcPr>
            <w:tcW w:w="1844" w:type="dxa"/>
            <w:tcBorders>
              <w:top w:val="single" w:color="auto" w:sz="4" w:space="0"/>
              <w:left w:val="single" w:color="auto" w:sz="4" w:space="0"/>
              <w:bottom w:val="single" w:color="auto" w:sz="4" w:space="0"/>
              <w:right w:val="single" w:color="auto" w:sz="4" w:space="0"/>
            </w:tcBorders>
          </w:tcPr>
          <w:p w14:paraId="56ADDA9E">
            <w:pPr>
              <w:autoSpaceDE w:val="0"/>
              <w:autoSpaceDN w:val="0"/>
              <w:adjustRightInd w:val="0"/>
              <w:ind w:left="-2" w:firstLine="2"/>
              <w:jc w:val="center"/>
              <w:rPr>
                <w:rFonts w:ascii="Times New Roman" w:hAnsi="Times New Roman" w:cs="Times New Roman"/>
                <w:sz w:val="24"/>
                <w:szCs w:val="24"/>
                <w:highlight w:val="none"/>
              </w:rPr>
            </w:pPr>
            <w:r>
              <w:rPr>
                <w:rFonts w:ascii="Times New Roman" w:hAnsi="Times New Roman" w:cs="Times New Roman"/>
                <w:sz w:val="24"/>
                <w:szCs w:val="24"/>
                <w:highlight w:val="none"/>
              </w:rPr>
              <w:t>7 рабочих дней с даты подписания заказчиком документа о приемке выполненных работ</w:t>
            </w:r>
          </w:p>
        </w:tc>
        <w:tc>
          <w:tcPr>
            <w:tcW w:w="1134" w:type="dxa"/>
            <w:tcBorders>
              <w:top w:val="single" w:color="auto" w:sz="4" w:space="0"/>
              <w:left w:val="single" w:color="auto" w:sz="4" w:space="0"/>
              <w:bottom w:val="single" w:color="auto" w:sz="4" w:space="0"/>
              <w:right w:val="single" w:color="auto" w:sz="4" w:space="0"/>
            </w:tcBorders>
          </w:tcPr>
          <w:p w14:paraId="7A081D88">
            <w:pPr>
              <w:autoSpaceDE w:val="0"/>
              <w:autoSpaceDN w:val="0"/>
              <w:adjustRightInd w:val="0"/>
              <w:ind w:left="-2" w:firstLine="2"/>
              <w:jc w:val="center"/>
              <w:rPr>
                <w:rFonts w:ascii="Times New Roman" w:hAnsi="Times New Roman" w:cs="Times New Roman"/>
                <w:sz w:val="24"/>
                <w:szCs w:val="24"/>
                <w:highlight w:val="none"/>
              </w:rPr>
            </w:pPr>
            <w:r>
              <w:rPr>
                <w:rFonts w:ascii="Times New Roman" w:hAnsi="Times New Roman" w:cs="Times New Roman"/>
                <w:sz w:val="24"/>
                <w:szCs w:val="24"/>
                <w:highlight w:val="none"/>
              </w:rPr>
              <w:t>0,71%</w:t>
            </w:r>
          </w:p>
        </w:tc>
      </w:tr>
      <w:tr w14:paraId="11980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tcBorders>
              <w:top w:val="single" w:color="auto" w:sz="4" w:space="0"/>
              <w:left w:val="single" w:color="auto" w:sz="4" w:space="0"/>
              <w:bottom w:val="single" w:color="auto" w:sz="4" w:space="0"/>
              <w:right w:val="single" w:color="auto" w:sz="4" w:space="0"/>
            </w:tcBorders>
          </w:tcPr>
          <w:p w14:paraId="364F3388">
            <w:pPr>
              <w:autoSpaceDE w:val="0"/>
              <w:autoSpaceDN w:val="0"/>
              <w:adjustRightInd w:val="0"/>
              <w:ind w:left="-2" w:firstLine="2"/>
              <w:jc w:val="center"/>
              <w:rPr>
                <w:rFonts w:ascii="Times New Roman" w:hAnsi="Times New Roman" w:cs="Times New Roman"/>
                <w:sz w:val="24"/>
                <w:szCs w:val="24"/>
                <w:highlight w:val="none"/>
              </w:rPr>
            </w:pPr>
            <w:r>
              <w:rPr>
                <w:rFonts w:ascii="Times New Roman" w:hAnsi="Times New Roman" w:cs="Times New Roman"/>
                <w:sz w:val="24"/>
                <w:szCs w:val="24"/>
                <w:highlight w:val="none"/>
              </w:rPr>
              <w:t>11</w:t>
            </w:r>
          </w:p>
        </w:tc>
        <w:tc>
          <w:tcPr>
            <w:tcW w:w="1815" w:type="dxa"/>
            <w:tcBorders>
              <w:top w:val="single" w:color="auto" w:sz="4" w:space="0"/>
              <w:left w:val="nil"/>
              <w:bottom w:val="single" w:color="auto" w:sz="4" w:space="0"/>
              <w:right w:val="nil"/>
            </w:tcBorders>
          </w:tcPr>
          <w:p w14:paraId="77B2DF23">
            <w:pPr>
              <w:spacing w:line="256" w:lineRule="auto"/>
              <w:rPr>
                <w:rFonts w:ascii="Times New Roman" w:hAnsi="Times New Roman" w:cs="Times New Roman"/>
                <w:color w:val="000000"/>
                <w:highlight w:val="none"/>
                <w:lang w:eastAsia="en-US"/>
              </w:rPr>
            </w:pPr>
            <w:r>
              <w:rPr>
                <w:rFonts w:ascii="Times New Roman" w:hAnsi="Times New Roman" w:cs="Times New Roman"/>
                <w:color w:val="000000"/>
                <w:highlight w:val="none"/>
                <w:lang w:eastAsia="en-US"/>
              </w:rPr>
              <w:t>Малые формы</w:t>
            </w:r>
          </w:p>
        </w:tc>
        <w:tc>
          <w:tcPr>
            <w:tcW w:w="1730" w:type="dxa"/>
            <w:tcBorders>
              <w:top w:val="single" w:color="auto" w:sz="4" w:space="0"/>
              <w:left w:val="single" w:color="auto" w:sz="4" w:space="0"/>
              <w:bottom w:val="single" w:color="auto" w:sz="4" w:space="0"/>
              <w:right w:val="single" w:color="auto" w:sz="4" w:space="0"/>
            </w:tcBorders>
          </w:tcPr>
          <w:p w14:paraId="282785B0">
            <w:pPr>
              <w:rPr>
                <w:highlight w:val="none"/>
              </w:rPr>
            </w:pPr>
            <w:r>
              <w:rPr>
                <w:rFonts w:ascii="Times New Roman" w:hAnsi="Times New Roman" w:cs="Times New Roman"/>
                <w:sz w:val="24"/>
                <w:szCs w:val="24"/>
                <w:highlight w:val="none"/>
              </w:rPr>
              <w:t>7 рабочих дней с даты получения документов: - счет на оплату аванса;</w:t>
            </w:r>
          </w:p>
        </w:tc>
        <w:tc>
          <w:tcPr>
            <w:tcW w:w="1276" w:type="dxa"/>
            <w:tcBorders>
              <w:top w:val="single" w:color="auto" w:sz="4" w:space="0"/>
              <w:left w:val="single" w:color="auto" w:sz="4" w:space="0"/>
              <w:bottom w:val="single" w:color="auto" w:sz="4" w:space="0"/>
              <w:right w:val="single" w:color="auto" w:sz="4" w:space="0"/>
            </w:tcBorders>
          </w:tcPr>
          <w:p w14:paraId="3049F90B">
            <w:pPr>
              <w:rPr>
                <w:highlight w:val="none"/>
              </w:rPr>
            </w:pPr>
          </w:p>
        </w:tc>
        <w:tc>
          <w:tcPr>
            <w:tcW w:w="1559" w:type="dxa"/>
            <w:tcBorders>
              <w:top w:val="single" w:color="auto" w:sz="4" w:space="0"/>
              <w:left w:val="single" w:color="auto" w:sz="4" w:space="0"/>
              <w:bottom w:val="single" w:color="auto" w:sz="4" w:space="0"/>
              <w:right w:val="single" w:color="auto" w:sz="4" w:space="0"/>
            </w:tcBorders>
          </w:tcPr>
          <w:p w14:paraId="2537CC91">
            <w:pPr>
              <w:autoSpaceDE w:val="0"/>
              <w:autoSpaceDN w:val="0"/>
              <w:adjustRightInd w:val="0"/>
              <w:ind w:left="-2" w:firstLine="2"/>
              <w:jc w:val="center"/>
              <w:rPr>
                <w:rFonts w:ascii="Times New Roman" w:hAnsi="Times New Roman" w:cs="Times New Roman"/>
                <w:sz w:val="24"/>
                <w:szCs w:val="24"/>
                <w:highlight w:val="none"/>
              </w:rPr>
            </w:pPr>
            <w:r>
              <w:rPr>
                <w:rFonts w:ascii="Times New Roman" w:hAnsi="Times New Roman" w:cs="Times New Roman"/>
                <w:sz w:val="24"/>
                <w:szCs w:val="24"/>
                <w:highlight w:val="none"/>
              </w:rPr>
              <w:t>По результатам конкурс</w:t>
            </w:r>
          </w:p>
        </w:tc>
        <w:tc>
          <w:tcPr>
            <w:tcW w:w="1844" w:type="dxa"/>
            <w:tcBorders>
              <w:top w:val="single" w:color="auto" w:sz="4" w:space="0"/>
              <w:left w:val="single" w:color="auto" w:sz="4" w:space="0"/>
              <w:bottom w:val="single" w:color="auto" w:sz="4" w:space="0"/>
              <w:right w:val="single" w:color="auto" w:sz="4" w:space="0"/>
            </w:tcBorders>
          </w:tcPr>
          <w:p w14:paraId="03209C4B">
            <w:pPr>
              <w:autoSpaceDE w:val="0"/>
              <w:autoSpaceDN w:val="0"/>
              <w:adjustRightInd w:val="0"/>
              <w:ind w:left="-2" w:firstLine="2"/>
              <w:jc w:val="center"/>
              <w:rPr>
                <w:rFonts w:ascii="Times New Roman" w:hAnsi="Times New Roman" w:cs="Times New Roman"/>
                <w:sz w:val="24"/>
                <w:szCs w:val="24"/>
                <w:highlight w:val="none"/>
              </w:rPr>
            </w:pPr>
            <w:r>
              <w:rPr>
                <w:rFonts w:ascii="Times New Roman" w:hAnsi="Times New Roman" w:cs="Times New Roman"/>
                <w:sz w:val="24"/>
                <w:szCs w:val="24"/>
                <w:highlight w:val="none"/>
              </w:rPr>
              <w:t>7 рабочих дней с даты подписания заказчиком документа о приемке выполненных работ</w:t>
            </w:r>
          </w:p>
        </w:tc>
        <w:tc>
          <w:tcPr>
            <w:tcW w:w="1134" w:type="dxa"/>
            <w:tcBorders>
              <w:top w:val="single" w:color="auto" w:sz="4" w:space="0"/>
              <w:left w:val="single" w:color="auto" w:sz="4" w:space="0"/>
              <w:bottom w:val="single" w:color="auto" w:sz="4" w:space="0"/>
              <w:right w:val="single" w:color="auto" w:sz="4" w:space="0"/>
            </w:tcBorders>
          </w:tcPr>
          <w:p w14:paraId="597B8912">
            <w:pPr>
              <w:autoSpaceDE w:val="0"/>
              <w:autoSpaceDN w:val="0"/>
              <w:adjustRightInd w:val="0"/>
              <w:ind w:left="-2" w:firstLine="2"/>
              <w:jc w:val="center"/>
              <w:rPr>
                <w:rFonts w:ascii="Times New Roman" w:hAnsi="Times New Roman" w:cs="Times New Roman"/>
                <w:sz w:val="24"/>
                <w:szCs w:val="24"/>
                <w:highlight w:val="none"/>
              </w:rPr>
            </w:pPr>
            <w:r>
              <w:rPr>
                <w:rFonts w:ascii="Times New Roman" w:hAnsi="Times New Roman" w:cs="Times New Roman"/>
                <w:sz w:val="24"/>
                <w:szCs w:val="24"/>
                <w:highlight w:val="none"/>
              </w:rPr>
              <w:t>1,06%</w:t>
            </w:r>
          </w:p>
        </w:tc>
      </w:tr>
      <w:tr w14:paraId="457EB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tcBorders>
              <w:top w:val="single" w:color="auto" w:sz="4" w:space="0"/>
              <w:left w:val="single" w:color="auto" w:sz="4" w:space="0"/>
              <w:bottom w:val="single" w:color="auto" w:sz="4" w:space="0"/>
              <w:right w:val="single" w:color="auto" w:sz="4" w:space="0"/>
            </w:tcBorders>
          </w:tcPr>
          <w:p w14:paraId="01C9408A">
            <w:pPr>
              <w:autoSpaceDE w:val="0"/>
              <w:autoSpaceDN w:val="0"/>
              <w:adjustRightInd w:val="0"/>
              <w:ind w:left="-2" w:firstLine="2"/>
              <w:jc w:val="center"/>
              <w:rPr>
                <w:rFonts w:ascii="Times New Roman" w:hAnsi="Times New Roman" w:cs="Times New Roman"/>
                <w:sz w:val="24"/>
                <w:szCs w:val="24"/>
                <w:highlight w:val="none"/>
              </w:rPr>
            </w:pPr>
            <w:r>
              <w:rPr>
                <w:rFonts w:ascii="Times New Roman" w:hAnsi="Times New Roman" w:cs="Times New Roman"/>
                <w:sz w:val="24"/>
                <w:szCs w:val="24"/>
                <w:highlight w:val="none"/>
              </w:rPr>
              <w:t>12</w:t>
            </w:r>
          </w:p>
        </w:tc>
        <w:tc>
          <w:tcPr>
            <w:tcW w:w="1815" w:type="dxa"/>
            <w:tcBorders>
              <w:top w:val="single" w:color="auto" w:sz="4" w:space="0"/>
              <w:left w:val="nil"/>
              <w:bottom w:val="single" w:color="auto" w:sz="4" w:space="0"/>
              <w:right w:val="nil"/>
            </w:tcBorders>
            <w:vAlign w:val="center"/>
          </w:tcPr>
          <w:p w14:paraId="0218CD76">
            <w:pPr>
              <w:spacing w:line="256" w:lineRule="auto"/>
              <w:rPr>
                <w:rFonts w:ascii="Times New Roman" w:hAnsi="Times New Roman" w:cs="Times New Roman"/>
                <w:color w:val="000000"/>
                <w:highlight w:val="none"/>
                <w:lang w:eastAsia="en-US"/>
              </w:rPr>
            </w:pPr>
            <w:r>
              <w:rPr>
                <w:rFonts w:ascii="Times New Roman" w:hAnsi="Times New Roman" w:cs="Times New Roman"/>
                <w:color w:val="000000"/>
                <w:highlight w:val="none"/>
                <w:lang w:eastAsia="en-US"/>
              </w:rPr>
              <w:t>Ограждение</w:t>
            </w:r>
          </w:p>
        </w:tc>
        <w:tc>
          <w:tcPr>
            <w:tcW w:w="1730" w:type="dxa"/>
            <w:tcBorders>
              <w:top w:val="single" w:color="auto" w:sz="4" w:space="0"/>
              <w:left w:val="single" w:color="auto" w:sz="4" w:space="0"/>
              <w:bottom w:val="single" w:color="auto" w:sz="4" w:space="0"/>
              <w:right w:val="single" w:color="auto" w:sz="4" w:space="0"/>
            </w:tcBorders>
          </w:tcPr>
          <w:p w14:paraId="1DC1E81B">
            <w:pPr>
              <w:rPr>
                <w:highlight w:val="none"/>
              </w:rPr>
            </w:pPr>
            <w:r>
              <w:rPr>
                <w:rFonts w:ascii="Times New Roman" w:hAnsi="Times New Roman" w:cs="Times New Roman"/>
                <w:sz w:val="24"/>
                <w:szCs w:val="24"/>
                <w:highlight w:val="none"/>
              </w:rPr>
              <w:t>7 рабочих дней с даты получения документов: - счет на оплату аванса;</w:t>
            </w:r>
          </w:p>
        </w:tc>
        <w:tc>
          <w:tcPr>
            <w:tcW w:w="1276" w:type="dxa"/>
            <w:tcBorders>
              <w:top w:val="single" w:color="auto" w:sz="4" w:space="0"/>
              <w:left w:val="single" w:color="auto" w:sz="4" w:space="0"/>
              <w:bottom w:val="single" w:color="auto" w:sz="4" w:space="0"/>
              <w:right w:val="single" w:color="auto" w:sz="4" w:space="0"/>
            </w:tcBorders>
          </w:tcPr>
          <w:p w14:paraId="125A753F">
            <w:pPr>
              <w:rPr>
                <w:highlight w:val="none"/>
              </w:rPr>
            </w:pPr>
          </w:p>
        </w:tc>
        <w:tc>
          <w:tcPr>
            <w:tcW w:w="1559" w:type="dxa"/>
            <w:tcBorders>
              <w:top w:val="single" w:color="auto" w:sz="4" w:space="0"/>
              <w:left w:val="single" w:color="auto" w:sz="4" w:space="0"/>
              <w:bottom w:val="single" w:color="auto" w:sz="4" w:space="0"/>
              <w:right w:val="single" w:color="auto" w:sz="4" w:space="0"/>
            </w:tcBorders>
          </w:tcPr>
          <w:p w14:paraId="7208E922">
            <w:pPr>
              <w:autoSpaceDE w:val="0"/>
              <w:autoSpaceDN w:val="0"/>
              <w:adjustRightInd w:val="0"/>
              <w:ind w:left="-2" w:firstLine="2"/>
              <w:jc w:val="center"/>
              <w:rPr>
                <w:rFonts w:ascii="Times New Roman" w:hAnsi="Times New Roman" w:cs="Times New Roman"/>
                <w:sz w:val="24"/>
                <w:szCs w:val="24"/>
                <w:highlight w:val="none"/>
              </w:rPr>
            </w:pPr>
            <w:r>
              <w:rPr>
                <w:rFonts w:ascii="Times New Roman" w:hAnsi="Times New Roman" w:cs="Times New Roman"/>
                <w:sz w:val="24"/>
                <w:szCs w:val="24"/>
                <w:highlight w:val="none"/>
              </w:rPr>
              <w:t>По результатам конкурс</w:t>
            </w:r>
          </w:p>
        </w:tc>
        <w:tc>
          <w:tcPr>
            <w:tcW w:w="1844" w:type="dxa"/>
            <w:tcBorders>
              <w:top w:val="single" w:color="auto" w:sz="4" w:space="0"/>
              <w:left w:val="single" w:color="auto" w:sz="4" w:space="0"/>
              <w:bottom w:val="single" w:color="auto" w:sz="4" w:space="0"/>
              <w:right w:val="single" w:color="auto" w:sz="4" w:space="0"/>
            </w:tcBorders>
          </w:tcPr>
          <w:p w14:paraId="0EEBF372">
            <w:pPr>
              <w:autoSpaceDE w:val="0"/>
              <w:autoSpaceDN w:val="0"/>
              <w:adjustRightInd w:val="0"/>
              <w:ind w:left="-2" w:firstLine="2"/>
              <w:jc w:val="center"/>
              <w:rPr>
                <w:rFonts w:ascii="Times New Roman" w:hAnsi="Times New Roman" w:cs="Times New Roman"/>
                <w:sz w:val="24"/>
                <w:szCs w:val="24"/>
                <w:highlight w:val="none"/>
              </w:rPr>
            </w:pPr>
            <w:r>
              <w:rPr>
                <w:rFonts w:ascii="Times New Roman" w:hAnsi="Times New Roman" w:cs="Times New Roman"/>
                <w:sz w:val="24"/>
                <w:szCs w:val="24"/>
                <w:highlight w:val="none"/>
              </w:rPr>
              <w:t>7 рабочих дней с даты подписания заказчиком документа о приемке выполненных работ</w:t>
            </w:r>
          </w:p>
        </w:tc>
        <w:tc>
          <w:tcPr>
            <w:tcW w:w="1134" w:type="dxa"/>
            <w:tcBorders>
              <w:top w:val="single" w:color="auto" w:sz="4" w:space="0"/>
              <w:left w:val="single" w:color="auto" w:sz="4" w:space="0"/>
              <w:bottom w:val="single" w:color="auto" w:sz="4" w:space="0"/>
              <w:right w:val="single" w:color="auto" w:sz="4" w:space="0"/>
            </w:tcBorders>
          </w:tcPr>
          <w:p w14:paraId="79622969">
            <w:pPr>
              <w:autoSpaceDE w:val="0"/>
              <w:autoSpaceDN w:val="0"/>
              <w:adjustRightInd w:val="0"/>
              <w:ind w:left="-2" w:firstLine="2"/>
              <w:jc w:val="center"/>
              <w:rPr>
                <w:rFonts w:ascii="Times New Roman" w:hAnsi="Times New Roman" w:cs="Times New Roman"/>
                <w:sz w:val="24"/>
                <w:szCs w:val="24"/>
                <w:highlight w:val="none"/>
              </w:rPr>
            </w:pPr>
            <w:r>
              <w:rPr>
                <w:rFonts w:ascii="Times New Roman" w:hAnsi="Times New Roman" w:cs="Times New Roman"/>
                <w:sz w:val="24"/>
                <w:szCs w:val="24"/>
                <w:highlight w:val="none"/>
              </w:rPr>
              <w:t>3,82%</w:t>
            </w:r>
          </w:p>
        </w:tc>
      </w:tr>
      <w:tr w14:paraId="6D32A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tcBorders>
              <w:top w:val="single" w:color="auto" w:sz="4" w:space="0"/>
              <w:left w:val="single" w:color="auto" w:sz="4" w:space="0"/>
              <w:bottom w:val="single" w:color="auto" w:sz="4" w:space="0"/>
              <w:right w:val="single" w:color="auto" w:sz="4" w:space="0"/>
            </w:tcBorders>
          </w:tcPr>
          <w:p w14:paraId="737449CF">
            <w:pPr>
              <w:autoSpaceDE w:val="0"/>
              <w:autoSpaceDN w:val="0"/>
              <w:adjustRightInd w:val="0"/>
              <w:ind w:left="-2" w:firstLine="2"/>
              <w:jc w:val="center"/>
              <w:rPr>
                <w:rFonts w:ascii="Times New Roman" w:hAnsi="Times New Roman" w:cs="Times New Roman"/>
                <w:sz w:val="24"/>
                <w:szCs w:val="24"/>
                <w:highlight w:val="none"/>
              </w:rPr>
            </w:pPr>
            <w:r>
              <w:rPr>
                <w:rFonts w:ascii="Times New Roman" w:hAnsi="Times New Roman" w:cs="Times New Roman"/>
                <w:sz w:val="24"/>
                <w:szCs w:val="24"/>
                <w:highlight w:val="none"/>
              </w:rPr>
              <w:t>13</w:t>
            </w:r>
          </w:p>
        </w:tc>
        <w:tc>
          <w:tcPr>
            <w:tcW w:w="1815" w:type="dxa"/>
            <w:tcBorders>
              <w:top w:val="single" w:color="auto" w:sz="4" w:space="0"/>
              <w:left w:val="nil"/>
              <w:bottom w:val="single" w:color="auto" w:sz="4" w:space="0"/>
              <w:right w:val="nil"/>
            </w:tcBorders>
            <w:vAlign w:val="center"/>
          </w:tcPr>
          <w:p w14:paraId="00E318A5">
            <w:pPr>
              <w:spacing w:line="256" w:lineRule="auto"/>
              <w:rPr>
                <w:rFonts w:ascii="Times New Roman" w:hAnsi="Times New Roman" w:cs="Times New Roman"/>
                <w:color w:val="000000"/>
                <w:highlight w:val="none"/>
                <w:lang w:eastAsia="en-US"/>
              </w:rPr>
            </w:pPr>
            <w:r>
              <w:rPr>
                <w:rFonts w:ascii="Times New Roman" w:hAnsi="Times New Roman" w:cs="Times New Roman"/>
                <w:color w:val="000000"/>
                <w:highlight w:val="none"/>
                <w:lang w:eastAsia="en-US"/>
              </w:rPr>
              <w:t>Теневой навес</w:t>
            </w:r>
          </w:p>
        </w:tc>
        <w:tc>
          <w:tcPr>
            <w:tcW w:w="1730" w:type="dxa"/>
            <w:tcBorders>
              <w:top w:val="single" w:color="auto" w:sz="4" w:space="0"/>
              <w:left w:val="single" w:color="auto" w:sz="4" w:space="0"/>
              <w:bottom w:val="single" w:color="auto" w:sz="4" w:space="0"/>
              <w:right w:val="single" w:color="auto" w:sz="4" w:space="0"/>
            </w:tcBorders>
          </w:tcPr>
          <w:p w14:paraId="19E41967">
            <w:pPr>
              <w:rPr>
                <w:rFonts w:ascii="Times New Roman" w:hAnsi="Times New Roman" w:cs="Times New Roman"/>
                <w:sz w:val="24"/>
                <w:szCs w:val="24"/>
                <w:highlight w:val="none"/>
              </w:rPr>
            </w:pPr>
            <w:r>
              <w:rPr>
                <w:rFonts w:ascii="Times New Roman" w:hAnsi="Times New Roman" w:cs="Times New Roman"/>
                <w:sz w:val="24"/>
                <w:szCs w:val="24"/>
                <w:highlight w:val="none"/>
              </w:rPr>
              <w:t>7 рабочих дней с даты получения документов: - счет на оплату аванса;</w:t>
            </w:r>
          </w:p>
        </w:tc>
        <w:tc>
          <w:tcPr>
            <w:tcW w:w="1276" w:type="dxa"/>
            <w:tcBorders>
              <w:top w:val="single" w:color="auto" w:sz="4" w:space="0"/>
              <w:left w:val="single" w:color="auto" w:sz="4" w:space="0"/>
              <w:bottom w:val="single" w:color="auto" w:sz="4" w:space="0"/>
              <w:right w:val="single" w:color="auto" w:sz="4" w:space="0"/>
            </w:tcBorders>
          </w:tcPr>
          <w:p w14:paraId="365D42E8">
            <w:pPr>
              <w:rPr>
                <w:rFonts w:ascii="Times New Roman" w:hAnsi="Times New Roman" w:cs="Times New Roman"/>
                <w:sz w:val="24"/>
                <w:szCs w:val="24"/>
                <w:highlight w:val="none"/>
              </w:rPr>
            </w:pPr>
          </w:p>
        </w:tc>
        <w:tc>
          <w:tcPr>
            <w:tcW w:w="1559" w:type="dxa"/>
            <w:tcBorders>
              <w:top w:val="single" w:color="auto" w:sz="4" w:space="0"/>
              <w:left w:val="single" w:color="auto" w:sz="4" w:space="0"/>
              <w:bottom w:val="single" w:color="auto" w:sz="4" w:space="0"/>
              <w:right w:val="single" w:color="auto" w:sz="4" w:space="0"/>
            </w:tcBorders>
          </w:tcPr>
          <w:p w14:paraId="34307ED1">
            <w:pPr>
              <w:autoSpaceDE w:val="0"/>
              <w:autoSpaceDN w:val="0"/>
              <w:adjustRightInd w:val="0"/>
              <w:ind w:left="-2" w:firstLine="2"/>
              <w:jc w:val="center"/>
              <w:rPr>
                <w:rFonts w:ascii="Times New Roman" w:hAnsi="Times New Roman" w:cs="Times New Roman"/>
                <w:sz w:val="24"/>
                <w:szCs w:val="24"/>
                <w:highlight w:val="none"/>
              </w:rPr>
            </w:pPr>
            <w:r>
              <w:rPr>
                <w:rFonts w:ascii="Times New Roman" w:hAnsi="Times New Roman" w:cs="Times New Roman"/>
                <w:sz w:val="24"/>
                <w:szCs w:val="24"/>
                <w:highlight w:val="none"/>
              </w:rPr>
              <w:t>По результатам конкурс</w:t>
            </w:r>
          </w:p>
        </w:tc>
        <w:tc>
          <w:tcPr>
            <w:tcW w:w="1844" w:type="dxa"/>
            <w:tcBorders>
              <w:top w:val="single" w:color="auto" w:sz="4" w:space="0"/>
              <w:left w:val="single" w:color="auto" w:sz="4" w:space="0"/>
              <w:bottom w:val="single" w:color="auto" w:sz="4" w:space="0"/>
              <w:right w:val="single" w:color="auto" w:sz="4" w:space="0"/>
            </w:tcBorders>
          </w:tcPr>
          <w:p w14:paraId="3254AD27">
            <w:pPr>
              <w:autoSpaceDE w:val="0"/>
              <w:autoSpaceDN w:val="0"/>
              <w:adjustRightInd w:val="0"/>
              <w:ind w:left="-2" w:firstLine="2"/>
              <w:jc w:val="center"/>
              <w:rPr>
                <w:rFonts w:ascii="Times New Roman" w:hAnsi="Times New Roman" w:cs="Times New Roman"/>
                <w:sz w:val="24"/>
                <w:szCs w:val="24"/>
                <w:highlight w:val="none"/>
              </w:rPr>
            </w:pPr>
            <w:r>
              <w:rPr>
                <w:rFonts w:ascii="Times New Roman" w:hAnsi="Times New Roman" w:cs="Times New Roman"/>
                <w:sz w:val="24"/>
                <w:szCs w:val="24"/>
                <w:highlight w:val="none"/>
              </w:rPr>
              <w:t>7 рабочих дней с даты подписания заказчиком документа о приемке выполненных работ</w:t>
            </w:r>
          </w:p>
        </w:tc>
        <w:tc>
          <w:tcPr>
            <w:tcW w:w="1134" w:type="dxa"/>
            <w:tcBorders>
              <w:top w:val="single" w:color="auto" w:sz="4" w:space="0"/>
              <w:left w:val="single" w:color="auto" w:sz="4" w:space="0"/>
              <w:bottom w:val="single" w:color="auto" w:sz="4" w:space="0"/>
              <w:right w:val="single" w:color="auto" w:sz="4" w:space="0"/>
            </w:tcBorders>
          </w:tcPr>
          <w:p w14:paraId="7B0F957C">
            <w:pPr>
              <w:autoSpaceDE w:val="0"/>
              <w:autoSpaceDN w:val="0"/>
              <w:adjustRightInd w:val="0"/>
              <w:ind w:left="-2" w:firstLine="2"/>
              <w:jc w:val="center"/>
              <w:rPr>
                <w:rFonts w:ascii="Times New Roman" w:hAnsi="Times New Roman" w:cs="Times New Roman"/>
                <w:sz w:val="24"/>
                <w:szCs w:val="24"/>
                <w:highlight w:val="none"/>
              </w:rPr>
            </w:pPr>
            <w:r>
              <w:rPr>
                <w:rFonts w:ascii="Times New Roman" w:hAnsi="Times New Roman" w:cs="Times New Roman"/>
                <w:sz w:val="24"/>
                <w:szCs w:val="24"/>
                <w:highlight w:val="none"/>
              </w:rPr>
              <w:t>2,5%</w:t>
            </w:r>
          </w:p>
        </w:tc>
      </w:tr>
    </w:tbl>
    <w:tbl>
      <w:tblPr>
        <w:tblStyle w:val="9"/>
        <w:tblpPr w:leftFromText="180" w:rightFromText="180" w:vertAnchor="text" w:horzAnchor="margin" w:tblpX="-425" w:tblpY="126"/>
        <w:tblW w:w="10172" w:type="dxa"/>
        <w:tblInd w:w="0" w:type="dxa"/>
        <w:tblLayout w:type="fixed"/>
        <w:tblCellMar>
          <w:top w:w="0" w:type="dxa"/>
          <w:left w:w="108" w:type="dxa"/>
          <w:bottom w:w="0" w:type="dxa"/>
          <w:right w:w="108" w:type="dxa"/>
        </w:tblCellMar>
      </w:tblPr>
      <w:tblGrid>
        <w:gridCol w:w="5250"/>
        <w:gridCol w:w="4922"/>
      </w:tblGrid>
      <w:tr w14:paraId="6680C762">
        <w:tblPrEx>
          <w:tblCellMar>
            <w:top w:w="0" w:type="dxa"/>
            <w:left w:w="108" w:type="dxa"/>
            <w:bottom w:w="0" w:type="dxa"/>
            <w:right w:w="108" w:type="dxa"/>
          </w:tblCellMar>
        </w:tblPrEx>
        <w:trPr>
          <w:trHeight w:val="1425" w:hRule="atLeast"/>
        </w:trPr>
        <w:tc>
          <w:tcPr>
            <w:tcW w:w="5250" w:type="dxa"/>
          </w:tcPr>
          <w:p w14:paraId="70277F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Times New Roman" w:hAnsi="Times New Roman" w:cs="Times New Roman"/>
                <w:b/>
                <w:bCs/>
                <w:color w:val="333333"/>
                <w:sz w:val="24"/>
                <w:szCs w:val="24"/>
                <w:highlight w:val="none"/>
              </w:rPr>
            </w:pPr>
          </w:p>
          <w:p w14:paraId="162DB9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Times New Roman" w:hAnsi="Times New Roman" w:cs="Times New Roman"/>
                <w:b/>
                <w:bCs/>
                <w:color w:val="333333"/>
                <w:sz w:val="24"/>
                <w:szCs w:val="24"/>
                <w:highlight w:val="none"/>
              </w:rPr>
            </w:pPr>
            <w:r>
              <w:rPr>
                <w:rFonts w:ascii="Times New Roman" w:hAnsi="Times New Roman" w:cs="Times New Roman"/>
                <w:b/>
                <w:bCs/>
                <w:color w:val="333333"/>
                <w:sz w:val="24"/>
                <w:szCs w:val="24"/>
                <w:highlight w:val="none"/>
              </w:rPr>
              <w:t xml:space="preserve">Заказчик </w:t>
            </w:r>
          </w:p>
          <w:p w14:paraId="40FCE3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Times New Roman" w:hAnsi="Times New Roman" w:cs="Times New Roman"/>
                <w:b/>
                <w:bCs/>
                <w:color w:val="333333"/>
                <w:sz w:val="24"/>
                <w:szCs w:val="24"/>
                <w:highlight w:val="none"/>
              </w:rPr>
            </w:pPr>
            <w:r>
              <w:rPr>
                <w:rFonts w:ascii="Times New Roman" w:hAnsi="Times New Roman" w:cs="Times New Roman"/>
                <w:b/>
                <w:bCs/>
                <w:color w:val="333333"/>
                <w:sz w:val="24"/>
                <w:szCs w:val="24"/>
                <w:highlight w:val="none"/>
              </w:rPr>
              <w:t xml:space="preserve">____________________  </w:t>
            </w:r>
            <w:r>
              <w:rPr>
                <w:rFonts w:ascii="Times New Roman" w:hAnsi="Times New Roman" w:cs="Times New Roman"/>
                <w:b/>
                <w:bCs/>
                <w:sz w:val="24"/>
                <w:szCs w:val="24"/>
                <w:highlight w:val="none"/>
              </w:rPr>
              <w:t xml:space="preserve"> </w:t>
            </w:r>
            <w:r>
              <w:rPr>
                <w:rFonts w:ascii="Times New Roman" w:hAnsi="Times New Roman" w:cs="Times New Roman"/>
                <w:b/>
                <w:bCs/>
                <w:color w:val="333333"/>
                <w:sz w:val="24"/>
                <w:szCs w:val="24"/>
                <w:highlight w:val="none"/>
              </w:rPr>
              <w:t xml:space="preserve"> М.А. Сайпудинов</w:t>
            </w:r>
          </w:p>
          <w:p w14:paraId="3EAC9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Times New Roman" w:hAnsi="Times New Roman" w:cs="Times New Roman"/>
                <w:b/>
                <w:bCs/>
                <w:color w:val="333333"/>
                <w:sz w:val="24"/>
                <w:szCs w:val="24"/>
                <w:highlight w:val="none"/>
              </w:rPr>
            </w:pPr>
            <w:r>
              <w:rPr>
                <w:rFonts w:ascii="Times New Roman" w:hAnsi="Times New Roman" w:cs="Times New Roman"/>
                <w:b/>
                <w:bCs/>
                <w:color w:val="333333"/>
                <w:sz w:val="24"/>
                <w:szCs w:val="24"/>
                <w:highlight w:val="none"/>
              </w:rPr>
              <w:t>М.П.</w:t>
            </w:r>
          </w:p>
        </w:tc>
        <w:tc>
          <w:tcPr>
            <w:tcW w:w="4922" w:type="dxa"/>
          </w:tcPr>
          <w:p w14:paraId="226844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Times New Roman" w:hAnsi="Times New Roman" w:cs="Times New Roman"/>
                <w:b/>
                <w:bCs/>
                <w:iCs/>
                <w:color w:val="333333"/>
                <w:sz w:val="24"/>
                <w:szCs w:val="24"/>
                <w:highlight w:val="none"/>
              </w:rPr>
            </w:pPr>
          </w:p>
          <w:p w14:paraId="649EDA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Times New Roman" w:hAnsi="Times New Roman" w:cs="Times New Roman"/>
                <w:b/>
                <w:bCs/>
                <w:iCs/>
                <w:color w:val="333333"/>
                <w:sz w:val="24"/>
                <w:szCs w:val="24"/>
                <w:highlight w:val="none"/>
              </w:rPr>
            </w:pPr>
            <w:r>
              <w:rPr>
                <w:rFonts w:ascii="Times New Roman" w:hAnsi="Times New Roman" w:cs="Times New Roman"/>
                <w:b/>
                <w:bCs/>
                <w:iCs/>
                <w:color w:val="333333"/>
                <w:sz w:val="24"/>
                <w:szCs w:val="24"/>
                <w:highlight w:val="none"/>
              </w:rPr>
              <w:t>Подрядчик</w:t>
            </w:r>
          </w:p>
          <w:p w14:paraId="52B97A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Times New Roman" w:hAnsi="Times New Roman" w:cs="Times New Roman"/>
                <w:b/>
                <w:bCs/>
                <w:iCs/>
                <w:color w:val="333333"/>
                <w:sz w:val="24"/>
                <w:szCs w:val="24"/>
                <w:highlight w:val="none"/>
              </w:rPr>
            </w:pPr>
            <w:r>
              <w:rPr>
                <w:rFonts w:ascii="Times New Roman" w:hAnsi="Times New Roman" w:cs="Times New Roman"/>
                <w:b/>
                <w:bCs/>
                <w:iCs/>
                <w:color w:val="333333"/>
                <w:sz w:val="24"/>
                <w:szCs w:val="24"/>
                <w:highlight w:val="none"/>
              </w:rPr>
              <w:t xml:space="preserve">_________________ </w:t>
            </w:r>
            <w:r>
              <w:rPr>
                <w:rFonts w:ascii="Times New Roman" w:hAnsi="Times New Roman" w:cs="Times New Roman"/>
                <w:b/>
                <w:bCs/>
                <w:sz w:val="24"/>
                <w:szCs w:val="24"/>
                <w:highlight w:val="none"/>
              </w:rPr>
              <w:t xml:space="preserve"> А.А. Хасаев</w:t>
            </w:r>
          </w:p>
          <w:p w14:paraId="6C13B3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Times New Roman" w:hAnsi="Times New Roman" w:cs="Times New Roman"/>
                <w:b/>
                <w:bCs/>
                <w:iCs/>
                <w:color w:val="333333"/>
                <w:sz w:val="24"/>
                <w:szCs w:val="24"/>
                <w:highlight w:val="none"/>
              </w:rPr>
            </w:pPr>
            <w:r>
              <w:rPr>
                <w:rFonts w:ascii="Times New Roman" w:hAnsi="Times New Roman" w:cs="Times New Roman"/>
                <w:b/>
                <w:bCs/>
                <w:iCs/>
                <w:color w:val="333333"/>
                <w:sz w:val="24"/>
                <w:szCs w:val="24"/>
                <w:highlight w:val="none"/>
              </w:rPr>
              <w:t>М.П.</w:t>
            </w:r>
          </w:p>
        </w:tc>
      </w:tr>
    </w:tbl>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5"/>
      </w:tblGrid>
      <w:tr w14:paraId="7877C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Borders>
              <w:top w:val="double" w:color="auto" w:sz="12" w:space="0"/>
              <w:left w:val="double" w:color="auto" w:sz="12" w:space="0"/>
              <w:bottom w:val="double" w:color="auto" w:sz="12" w:space="0"/>
              <w:right w:val="double" w:color="auto" w:sz="12" w:space="0"/>
            </w:tcBorders>
          </w:tcPr>
          <w:p w14:paraId="746455E7">
            <w:pPr>
              <w:spacing w:before="0" w:after="0"/>
              <w:jc w:val="left"/>
            </w:pPr>
            <w:r>
              <w:rPr>
                <w:rFonts w:ascii="Calibri" w:hAnsi="Calibri" w:eastAsia="Calibri" w:cs="Calibri"/>
                <w:b/>
                <w:sz w:val="24"/>
              </w:rPr>
              <w:t>Данные электронной подписи</w:t>
            </w:r>
          </w:p>
          <w:p w14:paraId="7B345343">
            <w:pPr>
              <w:spacing w:before="0" w:after="0"/>
              <w:jc w:val="left"/>
            </w:pPr>
            <w:r>
              <w:rPr>
                <w:rFonts w:ascii="Calibri" w:hAnsi="Calibri" w:eastAsia="Calibri" w:cs="Calibri"/>
                <w:b w:val="0"/>
                <w:sz w:val="20"/>
              </w:rPr>
              <w:t>Владелец: ХАСАЕВ АРАБИ АЛИЕВИЧ</w:t>
            </w:r>
          </w:p>
          <w:p w14:paraId="12ABEC43">
            <w:pPr>
              <w:spacing w:before="0" w:after="0"/>
              <w:jc w:val="left"/>
            </w:pPr>
            <w:r>
              <w:rPr>
                <w:rFonts w:ascii="Calibri" w:hAnsi="Calibri" w:eastAsia="Calibri" w:cs="Calibri"/>
                <w:b w:val="0"/>
                <w:sz w:val="20"/>
              </w:rPr>
              <w:t xml:space="preserve">Организация: ООО "ТСК "МЕГАПОЛИС", 054302999910 </w:t>
            </w:r>
          </w:p>
          <w:p w14:paraId="3FD61B0F">
            <w:pPr>
              <w:spacing w:before="0" w:after="240"/>
            </w:pPr>
            <w:r>
              <w:rPr>
                <w:rFonts w:ascii="Calibri" w:hAnsi="Calibri" w:eastAsia="Calibri" w:cs="Calibri"/>
                <w:b w:val="0"/>
                <w:sz w:val="20"/>
              </w:rPr>
              <w:t>Подписано: 28.04.2025 17:50:53</w:t>
            </w:r>
          </w:p>
          <w:p w14:paraId="01A92F12">
            <w:pPr>
              <w:spacing w:before="0" w:after="0"/>
              <w:jc w:val="left"/>
            </w:pPr>
            <w:r>
              <w:rPr>
                <w:rFonts w:ascii="Calibri" w:hAnsi="Calibri" w:eastAsia="Calibri" w:cs="Calibri"/>
                <w:b/>
                <w:sz w:val="24"/>
              </w:rPr>
              <w:t>Данные сертификата</w:t>
            </w:r>
          </w:p>
          <w:p w14:paraId="7F3BC711">
            <w:pPr>
              <w:spacing w:before="0" w:after="0"/>
              <w:jc w:val="left"/>
            </w:pPr>
            <w:r>
              <w:rPr>
                <w:rFonts w:ascii="Calibri" w:hAnsi="Calibri" w:eastAsia="Calibri" w:cs="Calibri"/>
                <w:b w:val="0"/>
                <w:sz w:val="20"/>
              </w:rPr>
              <w:t>Серийный номер:</w:t>
            </w:r>
          </w:p>
          <w:p w14:paraId="448D774E">
            <w:pPr>
              <w:spacing w:before="0" w:after="0"/>
              <w:jc w:val="left"/>
            </w:pPr>
            <w:r>
              <w:rPr>
                <w:rFonts w:ascii="Calibri" w:hAnsi="Calibri" w:eastAsia="Calibri" w:cs="Calibri"/>
                <w:b w:val="0"/>
                <w:sz w:val="20"/>
              </w:rPr>
              <w:t>02344CC100C0B111A342C6A33912A10BD0</w:t>
            </w:r>
          </w:p>
          <w:p w14:paraId="2DC8315F">
            <w:pPr>
              <w:spacing w:before="0" w:after="0"/>
              <w:jc w:val="left"/>
            </w:pPr>
            <w:r>
              <w:rPr>
                <w:rFonts w:ascii="Calibri" w:hAnsi="Calibri" w:eastAsia="Calibri" w:cs="Calibri"/>
                <w:b w:val="0"/>
                <w:sz w:val="20"/>
              </w:rPr>
              <w:t>Срок действия: 02.08.2024 14:33:47 (МСК) - 02.11.2025 14:43:47 (МСК)</w:t>
            </w:r>
          </w:p>
        </w:tc>
        <w:tc>
          <w:tcPr>
            <w:tcW w:w="2500" w:type="pct"/>
            <w:tcBorders>
              <w:top w:val="double" w:color="auto" w:sz="12" w:space="0"/>
              <w:left w:val="double" w:color="auto" w:sz="12" w:space="0"/>
              <w:bottom w:val="double" w:color="auto" w:sz="12" w:space="0"/>
              <w:right w:val="double" w:color="auto" w:sz="12" w:space="0"/>
            </w:tcBorders>
          </w:tcPr>
          <w:p w14:paraId="3389F635">
            <w:pPr>
              <w:spacing w:before="0" w:after="0"/>
              <w:jc w:val="left"/>
            </w:pPr>
            <w:r>
              <w:rPr>
                <w:rFonts w:ascii="Calibri" w:hAnsi="Calibri" w:eastAsia="Calibri" w:cs="Calibri"/>
                <w:b/>
                <w:sz w:val="24"/>
              </w:rPr>
              <w:t>Данные электронной подписи</w:t>
            </w:r>
          </w:p>
          <w:p w14:paraId="05C2BC83">
            <w:pPr>
              <w:spacing w:before="0" w:after="0"/>
              <w:jc w:val="left"/>
            </w:pPr>
            <w:r>
              <w:rPr>
                <w:rFonts w:ascii="Calibri" w:hAnsi="Calibri" w:eastAsia="Calibri" w:cs="Calibri"/>
                <w:b w:val="0"/>
                <w:sz w:val="20"/>
              </w:rPr>
              <w:t>Владелец: Сайпудинов Магомед Абдулаевич</w:t>
            </w:r>
          </w:p>
          <w:p w14:paraId="210C4EA7">
            <w:pPr>
              <w:spacing w:before="0" w:after="0"/>
              <w:jc w:val="left"/>
            </w:pPr>
            <w:r>
              <w:rPr>
                <w:rFonts w:ascii="Calibri" w:hAnsi="Calibri" w:eastAsia="Calibri" w:cs="Calibri"/>
                <w:b w:val="0"/>
                <w:sz w:val="20"/>
              </w:rPr>
              <w:t xml:space="preserve">Организация: МУНИЦИПАЛЬНОЕ КАЗЕННОЕ УЧРЕЖДЕНИЕ "УПРАВЛЕНИЕ КАПИТАЛЬНОГО СТРОИТЕЛЬСТВА" ГОРОДСКОГО ОКРУГА "ГОРОД ДЕРБЕНТ", 053101206100 </w:t>
            </w:r>
          </w:p>
          <w:p w14:paraId="1DD048B7">
            <w:pPr>
              <w:spacing w:before="0" w:after="240"/>
            </w:pPr>
            <w:r>
              <w:rPr>
                <w:rFonts w:ascii="Calibri" w:hAnsi="Calibri" w:eastAsia="Calibri" w:cs="Calibri"/>
                <w:b w:val="0"/>
                <w:sz w:val="20"/>
              </w:rPr>
              <w:t>Подписано: 05.05.2025 14:48:11</w:t>
            </w:r>
          </w:p>
          <w:p w14:paraId="3E578B87">
            <w:pPr>
              <w:spacing w:before="0" w:after="0"/>
              <w:jc w:val="left"/>
            </w:pPr>
            <w:r>
              <w:rPr>
                <w:rFonts w:ascii="Calibri" w:hAnsi="Calibri" w:eastAsia="Calibri" w:cs="Calibri"/>
                <w:b/>
                <w:sz w:val="24"/>
              </w:rPr>
              <w:t>Данные сертификата</w:t>
            </w:r>
          </w:p>
          <w:p w14:paraId="5D33D229">
            <w:pPr>
              <w:spacing w:before="0" w:after="0"/>
              <w:jc w:val="left"/>
            </w:pPr>
            <w:r>
              <w:rPr>
                <w:rFonts w:ascii="Calibri" w:hAnsi="Calibri" w:eastAsia="Calibri" w:cs="Calibri"/>
                <w:b w:val="0"/>
                <w:sz w:val="20"/>
              </w:rPr>
              <w:t>Серийный номер:</w:t>
            </w:r>
          </w:p>
          <w:p w14:paraId="73B06C9E">
            <w:pPr>
              <w:spacing w:before="0" w:after="0"/>
              <w:jc w:val="left"/>
            </w:pPr>
            <w:r>
              <w:rPr>
                <w:rFonts w:ascii="Calibri" w:hAnsi="Calibri" w:eastAsia="Calibri" w:cs="Calibri"/>
                <w:b w:val="0"/>
                <w:sz w:val="20"/>
              </w:rPr>
              <w:t>775A376A2D06C787AB1E6D238D32E430</w:t>
            </w:r>
          </w:p>
          <w:p w14:paraId="4CA205D2">
            <w:pPr>
              <w:spacing w:before="0" w:after="0"/>
              <w:jc w:val="left"/>
            </w:pPr>
            <w:r>
              <w:rPr>
                <w:rFonts w:ascii="Calibri" w:hAnsi="Calibri" w:eastAsia="Calibri" w:cs="Calibri"/>
                <w:b w:val="0"/>
                <w:sz w:val="20"/>
              </w:rPr>
              <w:t>Срок действия: 24.04.2024 10:57:33 (МСК) - 18.07.2025 10:57:33 (МСК)</w:t>
            </w:r>
          </w:p>
        </w:tc>
      </w:tr>
      <w:tr w14:paraId="7BDFF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Borders>
              <w:top w:val="double" w:color="auto" w:sz="12" w:space="0"/>
              <w:left w:val="double" w:color="auto" w:sz="12" w:space="0"/>
              <w:bottom w:val="double" w:color="auto" w:sz="12" w:space="0"/>
              <w:right w:val="double" w:color="auto" w:sz="12" w:space="0"/>
            </w:tcBorders>
            <w:shd w:val="clear" w:color="auto" w:fill="FFE8CC"/>
            <w:vAlign w:val="center"/>
          </w:tcPr>
          <w:p w14:paraId="54E37C62">
            <w:pPr>
              <w:spacing w:after="0"/>
              <w:jc w:val="center"/>
            </w:pPr>
            <w:r>
              <w:rPr>
                <w:rFonts w:ascii="Calibri" w:hAnsi="Calibri" w:eastAsia="Calibri" w:cs="Calibri"/>
                <w:b/>
                <w:sz w:val="20"/>
              </w:rPr>
              <w:t>Документ подписан электронной подписью</w:t>
            </w:r>
          </w:p>
        </w:tc>
        <w:tc>
          <w:tcPr>
            <w:tcW w:w="2500" w:type="pct"/>
            <w:tcBorders>
              <w:top w:val="double" w:color="auto" w:sz="12" w:space="0"/>
              <w:left w:val="double" w:color="auto" w:sz="12" w:space="0"/>
              <w:bottom w:val="double" w:color="auto" w:sz="12" w:space="0"/>
              <w:right w:val="double" w:color="auto" w:sz="12" w:space="0"/>
            </w:tcBorders>
            <w:shd w:val="clear" w:color="auto" w:fill="FFE8CC"/>
            <w:vAlign w:val="center"/>
          </w:tcPr>
          <w:p w14:paraId="7F6388F6">
            <w:pPr>
              <w:spacing w:after="0"/>
              <w:jc w:val="center"/>
            </w:pPr>
            <w:r>
              <w:rPr>
                <w:rFonts w:ascii="Calibri" w:hAnsi="Calibri" w:eastAsia="Calibri" w:cs="Calibri"/>
                <w:b/>
                <w:sz w:val="20"/>
              </w:rPr>
              <w:t>Документ подписан электронной подписью</w:t>
            </w:r>
          </w:p>
        </w:tc>
      </w:tr>
    </w:tbl>
    <w:p w14:paraId="58E69694">
      <w:pPr>
        <w:jc w:val="both"/>
        <w:rPr>
          <w:rFonts w:ascii="Times New Roman" w:hAnsi="Times New Roman" w:cs="Times New Roman"/>
          <w:sz w:val="24"/>
          <w:szCs w:val="24"/>
          <w:highlight w:val="none"/>
        </w:rPr>
      </w:pPr>
      <w:bookmarkStart w:id="14" w:name="_GoBack"/>
      <w:bookmarkEnd w:id="14"/>
    </w:p>
    <w:p w14:paraId="797172FD">
      <w:pPr>
        <w:jc w:val="both"/>
        <w:rPr>
          <w:rFonts w:ascii="Times New Roman" w:hAnsi="Times New Roman" w:cs="Times New Roman"/>
          <w:sz w:val="24"/>
          <w:szCs w:val="24"/>
          <w:highlight w:val="none"/>
        </w:rPr>
      </w:pPr>
    </w:p>
    <w:p w14:paraId="1E1D915C">
      <w:pPr>
        <w:jc w:val="right"/>
        <w:rPr>
          <w:rFonts w:ascii="Times New Roman" w:hAnsi="Times New Roman" w:cs="Times New Roman"/>
          <w:sz w:val="24"/>
          <w:szCs w:val="24"/>
          <w:highlight w:val="none"/>
        </w:rPr>
      </w:pPr>
    </w:p>
    <w:p w14:paraId="0C2641FD">
      <w:pPr>
        <w:jc w:val="right"/>
        <w:rPr>
          <w:rFonts w:ascii="Times New Roman" w:hAnsi="Times New Roman" w:cs="Times New Roman"/>
          <w:sz w:val="24"/>
          <w:szCs w:val="24"/>
          <w:highlight w:val="none"/>
        </w:rPr>
      </w:pPr>
      <w:r>
        <w:rPr>
          <w:rFonts w:ascii="Times New Roman" w:hAnsi="Times New Roman" w:cs="Times New Roman"/>
          <w:sz w:val="24"/>
          <w:szCs w:val="24"/>
          <w:highlight w:val="none"/>
        </w:rPr>
        <w:t>Приложение № 3</w:t>
      </w:r>
    </w:p>
    <w:p w14:paraId="40A997F4">
      <w:pPr>
        <w:jc w:val="right"/>
        <w:rPr>
          <w:rFonts w:ascii="Times New Roman" w:hAnsi="Times New Roman" w:cs="Times New Roman"/>
          <w:sz w:val="24"/>
          <w:szCs w:val="24"/>
          <w:highlight w:val="none"/>
        </w:rPr>
      </w:pPr>
      <w:r>
        <w:rPr>
          <w:rFonts w:ascii="Times New Roman" w:hAnsi="Times New Roman" w:cs="Times New Roman"/>
          <w:sz w:val="24"/>
          <w:szCs w:val="24"/>
          <w:highlight w:val="none"/>
        </w:rPr>
        <w:t xml:space="preserve">к муниципальному контракту </w:t>
      </w:r>
    </w:p>
    <w:p w14:paraId="4584F80D">
      <w:pPr>
        <w:jc w:val="right"/>
        <w:rPr>
          <w:rFonts w:ascii="Times New Roman" w:hAnsi="Times New Roman" w:cs="Times New Roman"/>
          <w:sz w:val="24"/>
          <w:szCs w:val="24"/>
          <w:highlight w:val="none"/>
        </w:rPr>
      </w:pPr>
      <w:r>
        <w:rPr>
          <w:rFonts w:ascii="Times New Roman" w:hAnsi="Times New Roman" w:cs="Times New Roman"/>
          <w:sz w:val="24"/>
          <w:szCs w:val="24"/>
          <w:highlight w:val="none"/>
        </w:rPr>
        <w:t xml:space="preserve">№ОК-25/005 от </w:t>
      </w:r>
      <w:r>
        <w:rPr>
          <w:rFonts w:hint="default" w:ascii="Times New Roman" w:hAnsi="Times New Roman" w:cs="Times New Roman"/>
          <w:sz w:val="24"/>
          <w:szCs w:val="24"/>
          <w:highlight w:val="none"/>
          <w:lang w:val="ru-RU"/>
        </w:rPr>
        <w:t>05.05.</w:t>
      </w:r>
      <w:r>
        <w:rPr>
          <w:rFonts w:ascii="Times New Roman" w:hAnsi="Times New Roman" w:cs="Times New Roman"/>
          <w:sz w:val="24"/>
          <w:szCs w:val="24"/>
          <w:highlight w:val="none"/>
        </w:rPr>
        <w:t xml:space="preserve">2025 г. </w:t>
      </w:r>
    </w:p>
    <w:p w14:paraId="6A72CD39">
      <w:pPr>
        <w:rPr>
          <w:rFonts w:ascii="Times New Roman" w:hAnsi="Times New Roman" w:cs="Times New Roman"/>
          <w:sz w:val="24"/>
          <w:szCs w:val="24"/>
          <w:highlight w:val="none"/>
        </w:rPr>
      </w:pPr>
    </w:p>
    <w:p w14:paraId="25465A00">
      <w:pPr>
        <w:rPr>
          <w:rFonts w:ascii="Times New Roman" w:hAnsi="Times New Roman" w:cs="Times New Roman"/>
          <w:sz w:val="24"/>
          <w:szCs w:val="24"/>
          <w:highlight w:val="none"/>
        </w:rPr>
      </w:pPr>
      <w:r>
        <w:rPr>
          <w:rFonts w:ascii="Times New Roman" w:hAnsi="Times New Roman" w:cs="Times New Roman"/>
          <w:sz w:val="24"/>
          <w:szCs w:val="24"/>
          <w:highlight w:val="none"/>
        </w:rPr>
        <w:t>Перечень видов работ, которые Подрядчик обязан выполнить самостоятельно без привлечения других лиц к исполнению своих обязательств по контракту, и объем таких работ</w:t>
      </w:r>
    </w:p>
    <w:tbl>
      <w:tblPr>
        <w:tblStyle w:val="9"/>
        <w:tblW w:w="9923" w:type="dxa"/>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6804"/>
        <w:gridCol w:w="2410"/>
      </w:tblGrid>
      <w:tr w14:paraId="0E0B3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Borders>
              <w:top w:val="single" w:color="auto" w:sz="4" w:space="0"/>
              <w:left w:val="single" w:color="auto" w:sz="4" w:space="0"/>
              <w:bottom w:val="single" w:color="auto" w:sz="4" w:space="0"/>
              <w:right w:val="single" w:color="auto" w:sz="4" w:space="0"/>
            </w:tcBorders>
            <w:vAlign w:val="center"/>
          </w:tcPr>
          <w:p w14:paraId="0BF34C3A">
            <w:pPr>
              <w:rPr>
                <w:rFonts w:ascii="Times New Roman" w:hAnsi="Times New Roman" w:cs="Times New Roman"/>
                <w:sz w:val="24"/>
                <w:szCs w:val="24"/>
                <w:highlight w:val="none"/>
              </w:rPr>
            </w:pPr>
            <w:r>
              <w:rPr>
                <w:rFonts w:ascii="Times New Roman" w:hAnsi="Times New Roman" w:cs="Times New Roman"/>
                <w:sz w:val="24"/>
                <w:szCs w:val="24"/>
                <w:highlight w:val="none"/>
              </w:rPr>
              <w:t>№ п/п</w:t>
            </w:r>
          </w:p>
        </w:tc>
        <w:tc>
          <w:tcPr>
            <w:tcW w:w="6804" w:type="dxa"/>
            <w:tcBorders>
              <w:top w:val="single" w:color="auto" w:sz="4" w:space="0"/>
              <w:left w:val="single" w:color="auto" w:sz="4" w:space="0"/>
              <w:bottom w:val="single" w:color="auto" w:sz="4" w:space="0"/>
              <w:right w:val="single" w:color="auto" w:sz="4" w:space="0"/>
            </w:tcBorders>
            <w:vAlign w:val="center"/>
          </w:tcPr>
          <w:p w14:paraId="6775901D">
            <w:pPr>
              <w:rPr>
                <w:rFonts w:ascii="Times New Roman" w:hAnsi="Times New Roman" w:cs="Times New Roman"/>
                <w:sz w:val="24"/>
                <w:szCs w:val="24"/>
                <w:highlight w:val="none"/>
              </w:rPr>
            </w:pPr>
            <w:r>
              <w:rPr>
                <w:rFonts w:ascii="Times New Roman" w:hAnsi="Times New Roman" w:cs="Times New Roman"/>
                <w:sz w:val="24"/>
                <w:szCs w:val="24"/>
                <w:highlight w:val="none"/>
              </w:rPr>
              <w:t>Виды работ</w:t>
            </w:r>
          </w:p>
        </w:tc>
        <w:tc>
          <w:tcPr>
            <w:tcW w:w="2410" w:type="dxa"/>
            <w:tcBorders>
              <w:top w:val="single" w:color="auto" w:sz="4" w:space="0"/>
              <w:left w:val="single" w:color="auto" w:sz="4" w:space="0"/>
              <w:bottom w:val="single" w:color="auto" w:sz="4" w:space="0"/>
              <w:right w:val="single" w:color="auto" w:sz="4" w:space="0"/>
            </w:tcBorders>
          </w:tcPr>
          <w:p w14:paraId="3E3FBABD">
            <w:pPr>
              <w:rPr>
                <w:rFonts w:ascii="Times New Roman" w:hAnsi="Times New Roman" w:cs="Times New Roman"/>
                <w:sz w:val="24"/>
                <w:szCs w:val="24"/>
                <w:highlight w:val="none"/>
              </w:rPr>
            </w:pPr>
            <w:r>
              <w:rPr>
                <w:rFonts w:ascii="Times New Roman" w:hAnsi="Times New Roman" w:cs="Times New Roman"/>
                <w:sz w:val="24"/>
                <w:szCs w:val="24"/>
                <w:highlight w:val="none"/>
              </w:rPr>
              <w:t>Объем работ по строительству, руб.</w:t>
            </w:r>
          </w:p>
        </w:tc>
      </w:tr>
      <w:tr w14:paraId="0C784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Borders>
              <w:top w:val="single" w:color="auto" w:sz="4" w:space="0"/>
              <w:left w:val="single" w:color="auto" w:sz="4" w:space="0"/>
              <w:bottom w:val="single" w:color="auto" w:sz="4" w:space="0"/>
              <w:right w:val="single" w:color="auto" w:sz="4" w:space="0"/>
            </w:tcBorders>
            <w:vAlign w:val="center"/>
          </w:tcPr>
          <w:p w14:paraId="02AB837B">
            <w:pPr>
              <w:rPr>
                <w:rFonts w:ascii="Times New Roman" w:hAnsi="Times New Roman" w:cs="Times New Roman"/>
                <w:sz w:val="24"/>
                <w:szCs w:val="24"/>
                <w:highlight w:val="none"/>
              </w:rPr>
            </w:pPr>
            <w:r>
              <w:rPr>
                <w:rFonts w:ascii="Times New Roman" w:hAnsi="Times New Roman" w:cs="Times New Roman"/>
                <w:sz w:val="24"/>
                <w:szCs w:val="24"/>
                <w:highlight w:val="none"/>
              </w:rPr>
              <w:t>1</w:t>
            </w:r>
          </w:p>
        </w:tc>
        <w:tc>
          <w:tcPr>
            <w:tcW w:w="6804" w:type="dxa"/>
            <w:tcBorders>
              <w:top w:val="single" w:color="auto" w:sz="4" w:space="0"/>
              <w:left w:val="single" w:color="auto" w:sz="4" w:space="0"/>
              <w:bottom w:val="single" w:color="auto" w:sz="4" w:space="0"/>
              <w:right w:val="single" w:color="auto" w:sz="4" w:space="0"/>
            </w:tcBorders>
            <w:vAlign w:val="center"/>
          </w:tcPr>
          <w:p w14:paraId="3500F0F1">
            <w:pPr>
              <w:rPr>
                <w:rFonts w:ascii="Times New Roman" w:hAnsi="Times New Roman" w:cs="Times New Roman"/>
                <w:sz w:val="24"/>
                <w:szCs w:val="24"/>
                <w:highlight w:val="none"/>
              </w:rPr>
            </w:pPr>
            <w:r>
              <w:rPr>
                <w:rFonts w:ascii="Times New Roman" w:hAnsi="Times New Roman" w:cs="Times New Roman"/>
                <w:sz w:val="24"/>
                <w:szCs w:val="24"/>
                <w:highlight w:val="none"/>
              </w:rPr>
              <w:t>Земляные работы</w:t>
            </w:r>
          </w:p>
        </w:tc>
        <w:tc>
          <w:tcPr>
            <w:tcW w:w="2410" w:type="dxa"/>
            <w:vMerge w:val="restart"/>
            <w:tcBorders>
              <w:top w:val="single" w:color="auto" w:sz="4" w:space="0"/>
              <w:left w:val="single" w:color="auto" w:sz="4" w:space="0"/>
              <w:bottom w:val="single" w:color="auto" w:sz="4" w:space="0"/>
              <w:right w:val="single" w:color="auto" w:sz="4" w:space="0"/>
            </w:tcBorders>
          </w:tcPr>
          <w:p w14:paraId="7E1EFECD">
            <w:pPr>
              <w:rPr>
                <w:rFonts w:ascii="Times New Roman" w:hAnsi="Times New Roman" w:cs="Times New Roman"/>
                <w:sz w:val="24"/>
                <w:szCs w:val="24"/>
                <w:highlight w:val="none"/>
              </w:rPr>
            </w:pPr>
          </w:p>
        </w:tc>
      </w:tr>
      <w:tr w14:paraId="608B3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Borders>
              <w:top w:val="single" w:color="auto" w:sz="4" w:space="0"/>
              <w:left w:val="single" w:color="auto" w:sz="4" w:space="0"/>
              <w:bottom w:val="single" w:color="auto" w:sz="4" w:space="0"/>
              <w:right w:val="single" w:color="auto" w:sz="4" w:space="0"/>
            </w:tcBorders>
            <w:vAlign w:val="center"/>
          </w:tcPr>
          <w:p w14:paraId="066C0C9B">
            <w:pPr>
              <w:rPr>
                <w:rFonts w:ascii="Times New Roman" w:hAnsi="Times New Roman" w:cs="Times New Roman"/>
                <w:sz w:val="24"/>
                <w:szCs w:val="24"/>
                <w:highlight w:val="none"/>
              </w:rPr>
            </w:pPr>
            <w:r>
              <w:rPr>
                <w:rFonts w:ascii="Times New Roman" w:hAnsi="Times New Roman" w:cs="Times New Roman"/>
                <w:sz w:val="24"/>
                <w:szCs w:val="24"/>
                <w:highlight w:val="none"/>
              </w:rPr>
              <w:t>2</w:t>
            </w:r>
          </w:p>
        </w:tc>
        <w:tc>
          <w:tcPr>
            <w:tcW w:w="6804" w:type="dxa"/>
            <w:tcBorders>
              <w:top w:val="single" w:color="auto" w:sz="4" w:space="0"/>
              <w:left w:val="single" w:color="auto" w:sz="4" w:space="0"/>
              <w:bottom w:val="single" w:color="auto" w:sz="4" w:space="0"/>
              <w:right w:val="single" w:color="auto" w:sz="4" w:space="0"/>
            </w:tcBorders>
            <w:vAlign w:val="center"/>
          </w:tcPr>
          <w:p w14:paraId="54A1CDE4">
            <w:pPr>
              <w:rPr>
                <w:rFonts w:ascii="Times New Roman" w:hAnsi="Times New Roman" w:cs="Times New Roman"/>
                <w:sz w:val="24"/>
                <w:szCs w:val="24"/>
                <w:highlight w:val="none"/>
              </w:rPr>
            </w:pPr>
            <w:r>
              <w:rPr>
                <w:rFonts w:ascii="Times New Roman" w:hAnsi="Times New Roman" w:cs="Times New Roman"/>
                <w:sz w:val="24"/>
                <w:szCs w:val="24"/>
                <w:highlight w:val="none"/>
              </w:rPr>
              <w:t xml:space="preserve">Устройство фундаментов и оснований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1FDB376">
            <w:pPr>
              <w:rPr>
                <w:rFonts w:ascii="Times New Roman" w:hAnsi="Times New Roman" w:cs="Times New Roman"/>
                <w:sz w:val="24"/>
                <w:szCs w:val="24"/>
                <w:highlight w:val="none"/>
              </w:rPr>
            </w:pPr>
          </w:p>
        </w:tc>
      </w:tr>
      <w:tr w14:paraId="6AC5A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Borders>
              <w:top w:val="single" w:color="auto" w:sz="4" w:space="0"/>
              <w:left w:val="single" w:color="auto" w:sz="4" w:space="0"/>
              <w:bottom w:val="single" w:color="auto" w:sz="4" w:space="0"/>
              <w:right w:val="single" w:color="auto" w:sz="4" w:space="0"/>
            </w:tcBorders>
            <w:vAlign w:val="center"/>
          </w:tcPr>
          <w:p w14:paraId="18F2277D">
            <w:pPr>
              <w:rPr>
                <w:rFonts w:ascii="Times New Roman" w:hAnsi="Times New Roman" w:cs="Times New Roman"/>
                <w:sz w:val="24"/>
                <w:szCs w:val="24"/>
                <w:highlight w:val="none"/>
              </w:rPr>
            </w:pPr>
            <w:r>
              <w:rPr>
                <w:rFonts w:ascii="Times New Roman" w:hAnsi="Times New Roman" w:cs="Times New Roman"/>
                <w:sz w:val="24"/>
                <w:szCs w:val="24"/>
                <w:highlight w:val="none"/>
              </w:rPr>
              <w:t>3</w:t>
            </w:r>
          </w:p>
        </w:tc>
        <w:tc>
          <w:tcPr>
            <w:tcW w:w="6804" w:type="dxa"/>
            <w:tcBorders>
              <w:top w:val="single" w:color="auto" w:sz="4" w:space="0"/>
              <w:left w:val="single" w:color="auto" w:sz="4" w:space="0"/>
              <w:bottom w:val="single" w:color="auto" w:sz="4" w:space="0"/>
              <w:right w:val="single" w:color="auto" w:sz="4" w:space="0"/>
            </w:tcBorders>
            <w:vAlign w:val="center"/>
          </w:tcPr>
          <w:p w14:paraId="50FF4552">
            <w:pPr>
              <w:rPr>
                <w:rFonts w:ascii="Times New Roman" w:hAnsi="Times New Roman" w:cs="Times New Roman"/>
                <w:sz w:val="24"/>
                <w:szCs w:val="24"/>
                <w:highlight w:val="none"/>
              </w:rPr>
            </w:pPr>
            <w:r>
              <w:rPr>
                <w:rFonts w:ascii="Times New Roman" w:hAnsi="Times New Roman" w:cs="Times New Roman"/>
                <w:sz w:val="24"/>
                <w:szCs w:val="24"/>
                <w:highlight w:val="none"/>
              </w:rPr>
              <w:t>Внутренние отделочные работы</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1412E89">
            <w:pPr>
              <w:rPr>
                <w:rFonts w:ascii="Times New Roman" w:hAnsi="Times New Roman" w:cs="Times New Roman"/>
                <w:sz w:val="24"/>
                <w:szCs w:val="24"/>
                <w:highlight w:val="none"/>
              </w:rPr>
            </w:pPr>
          </w:p>
        </w:tc>
      </w:tr>
      <w:tr w14:paraId="42743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tcBorders>
              <w:top w:val="single" w:color="auto" w:sz="4" w:space="0"/>
              <w:left w:val="single" w:color="auto" w:sz="4" w:space="0"/>
              <w:bottom w:val="single" w:color="auto" w:sz="4" w:space="0"/>
              <w:right w:val="single" w:color="auto" w:sz="4" w:space="0"/>
            </w:tcBorders>
            <w:vAlign w:val="center"/>
          </w:tcPr>
          <w:p w14:paraId="2601645E">
            <w:pPr>
              <w:rPr>
                <w:rFonts w:ascii="Times New Roman" w:hAnsi="Times New Roman" w:cs="Times New Roman"/>
                <w:sz w:val="24"/>
                <w:szCs w:val="24"/>
                <w:highlight w:val="none"/>
              </w:rPr>
            </w:pPr>
            <w:r>
              <w:rPr>
                <w:rFonts w:ascii="Times New Roman" w:hAnsi="Times New Roman" w:cs="Times New Roman"/>
                <w:sz w:val="24"/>
                <w:szCs w:val="24"/>
                <w:highlight w:val="none"/>
              </w:rPr>
              <w:t>4</w:t>
            </w:r>
          </w:p>
        </w:tc>
        <w:tc>
          <w:tcPr>
            <w:tcW w:w="6807" w:type="dxa"/>
            <w:tcBorders>
              <w:top w:val="single" w:color="auto" w:sz="4" w:space="0"/>
              <w:left w:val="single" w:color="auto" w:sz="4" w:space="0"/>
              <w:bottom w:val="single" w:color="auto" w:sz="4" w:space="0"/>
              <w:right w:val="single" w:color="auto" w:sz="4" w:space="0"/>
            </w:tcBorders>
            <w:vAlign w:val="center"/>
          </w:tcPr>
          <w:p w14:paraId="15EB47CE">
            <w:pPr>
              <w:rPr>
                <w:rFonts w:ascii="Times New Roman" w:hAnsi="Times New Roman" w:cs="Times New Roman"/>
                <w:sz w:val="24"/>
                <w:szCs w:val="24"/>
                <w:highlight w:val="none"/>
              </w:rPr>
            </w:pPr>
            <w:r>
              <w:rPr>
                <w:rFonts w:ascii="Times New Roman" w:hAnsi="Times New Roman" w:cs="Times New Roman"/>
                <w:sz w:val="24"/>
                <w:szCs w:val="24"/>
                <w:highlight w:val="none"/>
              </w:rPr>
              <w:t>Благоустройство</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FC46CD0">
            <w:pPr>
              <w:rPr>
                <w:rFonts w:ascii="Times New Roman" w:hAnsi="Times New Roman" w:cs="Times New Roman"/>
                <w:sz w:val="24"/>
                <w:szCs w:val="24"/>
                <w:highlight w:val="none"/>
              </w:rPr>
            </w:pPr>
          </w:p>
        </w:tc>
      </w:tr>
      <w:tr w14:paraId="07281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3" w:type="dxa"/>
            <w:gridSpan w:val="2"/>
            <w:tcBorders>
              <w:top w:val="single" w:color="auto" w:sz="4" w:space="0"/>
              <w:left w:val="single" w:color="auto" w:sz="4" w:space="0"/>
              <w:bottom w:val="single" w:color="auto" w:sz="4" w:space="0"/>
              <w:right w:val="single" w:color="auto" w:sz="4" w:space="0"/>
            </w:tcBorders>
            <w:vAlign w:val="center"/>
          </w:tcPr>
          <w:p w14:paraId="33AB4BDF">
            <w:pPr>
              <w:rPr>
                <w:rFonts w:ascii="Times New Roman" w:hAnsi="Times New Roman" w:cs="Times New Roman"/>
                <w:sz w:val="24"/>
                <w:szCs w:val="24"/>
                <w:highlight w:val="none"/>
              </w:rPr>
            </w:pPr>
            <w:r>
              <w:rPr>
                <w:rFonts w:ascii="Times New Roman" w:hAnsi="Times New Roman" w:cs="Times New Roman"/>
                <w:sz w:val="24"/>
                <w:szCs w:val="24"/>
                <w:highlight w:val="none"/>
              </w:rPr>
              <w:t>Общий объем работ по строительству объекта, в совокупном стоимостном выражении, руб.</w:t>
            </w:r>
          </w:p>
        </w:tc>
        <w:tc>
          <w:tcPr>
            <w:tcW w:w="2410" w:type="dxa"/>
            <w:tcBorders>
              <w:top w:val="single" w:color="auto" w:sz="4" w:space="0"/>
              <w:left w:val="single" w:color="auto" w:sz="4" w:space="0"/>
              <w:bottom w:val="single" w:color="auto" w:sz="4" w:space="0"/>
              <w:right w:val="single" w:color="auto" w:sz="4" w:space="0"/>
            </w:tcBorders>
          </w:tcPr>
          <w:p w14:paraId="1D2E03B4">
            <w:pPr>
              <w:rPr>
                <w:rFonts w:ascii="Times New Roman" w:hAnsi="Times New Roman" w:cs="Times New Roman"/>
                <w:sz w:val="24"/>
                <w:szCs w:val="24"/>
                <w:highlight w:val="none"/>
                <w:lang w:val="en-US"/>
              </w:rPr>
            </w:pPr>
            <w:r>
              <w:rPr>
                <w:rFonts w:ascii="Times New Roman" w:hAnsi="Times New Roman" w:cs="Times New Roman"/>
                <w:sz w:val="24"/>
                <w:szCs w:val="24"/>
                <w:highlight w:val="none"/>
              </w:rPr>
              <w:t>78 813</w:t>
            </w:r>
            <w:r>
              <w:rPr>
                <w:rFonts w:ascii="Times New Roman" w:hAnsi="Times New Roman" w:cs="Times New Roman"/>
                <w:sz w:val="24"/>
                <w:szCs w:val="24"/>
                <w:highlight w:val="none"/>
                <w:lang w:val="en-US"/>
              </w:rPr>
              <w:t> </w:t>
            </w:r>
            <w:r>
              <w:rPr>
                <w:rFonts w:ascii="Times New Roman" w:hAnsi="Times New Roman" w:cs="Times New Roman"/>
                <w:sz w:val="24"/>
                <w:szCs w:val="24"/>
                <w:highlight w:val="none"/>
              </w:rPr>
              <w:t>520</w:t>
            </w:r>
            <w:r>
              <w:rPr>
                <w:rFonts w:ascii="Times New Roman" w:hAnsi="Times New Roman" w:cs="Times New Roman"/>
                <w:sz w:val="24"/>
                <w:szCs w:val="24"/>
                <w:highlight w:val="none"/>
                <w:lang w:val="en-US"/>
              </w:rPr>
              <w:t>, 00</w:t>
            </w:r>
          </w:p>
        </w:tc>
      </w:tr>
      <w:tr w14:paraId="772A2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3" w:type="dxa"/>
            <w:gridSpan w:val="2"/>
            <w:tcBorders>
              <w:top w:val="single" w:color="auto" w:sz="4" w:space="0"/>
              <w:left w:val="single" w:color="auto" w:sz="4" w:space="0"/>
              <w:bottom w:val="single" w:color="auto" w:sz="4" w:space="0"/>
              <w:right w:val="single" w:color="auto" w:sz="4" w:space="0"/>
            </w:tcBorders>
            <w:vAlign w:val="center"/>
          </w:tcPr>
          <w:p w14:paraId="7140B5FE">
            <w:pPr>
              <w:rPr>
                <w:rFonts w:ascii="Times New Roman" w:hAnsi="Times New Roman" w:cs="Times New Roman"/>
                <w:sz w:val="24"/>
                <w:szCs w:val="24"/>
                <w:highlight w:val="none"/>
              </w:rPr>
            </w:pPr>
            <w:r>
              <w:rPr>
                <w:rFonts w:ascii="Times New Roman" w:hAnsi="Times New Roman" w:cs="Times New Roman"/>
                <w:sz w:val="24"/>
                <w:szCs w:val="24"/>
                <w:highlight w:val="none"/>
              </w:rPr>
              <w:t>Цена контракта, руб.</w:t>
            </w:r>
          </w:p>
        </w:tc>
        <w:tc>
          <w:tcPr>
            <w:tcW w:w="2410" w:type="dxa"/>
            <w:tcBorders>
              <w:top w:val="single" w:color="auto" w:sz="4" w:space="0"/>
              <w:left w:val="single" w:color="auto" w:sz="4" w:space="0"/>
              <w:bottom w:val="single" w:color="auto" w:sz="4" w:space="0"/>
              <w:right w:val="single" w:color="auto" w:sz="4" w:space="0"/>
            </w:tcBorders>
          </w:tcPr>
          <w:p w14:paraId="1BB7FB28">
            <w:pPr>
              <w:rPr>
                <w:rFonts w:ascii="Times New Roman" w:hAnsi="Times New Roman" w:cs="Times New Roman"/>
                <w:sz w:val="24"/>
                <w:szCs w:val="24"/>
                <w:highlight w:val="none"/>
              </w:rPr>
            </w:pPr>
            <w:r>
              <w:rPr>
                <w:rFonts w:ascii="Times New Roman" w:hAnsi="Times New Roman" w:eastAsia="Roboto" w:cs="Times New Roman"/>
                <w:sz w:val="24"/>
                <w:szCs w:val="24"/>
                <w:highlight w:val="none"/>
                <w:shd w:val="clear" w:color="auto" w:fill="FFFFFF"/>
              </w:rPr>
              <w:t>315 254 080,00</w:t>
            </w:r>
          </w:p>
        </w:tc>
      </w:tr>
      <w:tr w14:paraId="66680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3" w:type="dxa"/>
            <w:gridSpan w:val="2"/>
            <w:tcBorders>
              <w:top w:val="single" w:color="auto" w:sz="4" w:space="0"/>
              <w:left w:val="single" w:color="auto" w:sz="4" w:space="0"/>
              <w:bottom w:val="single" w:color="auto" w:sz="4" w:space="0"/>
              <w:right w:val="single" w:color="auto" w:sz="4" w:space="0"/>
            </w:tcBorders>
            <w:vAlign w:val="center"/>
          </w:tcPr>
          <w:p w14:paraId="62546980">
            <w:pPr>
              <w:rPr>
                <w:rFonts w:ascii="Times New Roman" w:hAnsi="Times New Roman" w:cs="Times New Roman"/>
                <w:sz w:val="24"/>
                <w:szCs w:val="24"/>
                <w:highlight w:val="none"/>
              </w:rPr>
            </w:pPr>
            <w:r>
              <w:rPr>
                <w:rFonts w:ascii="Times New Roman" w:hAnsi="Times New Roman" w:cs="Times New Roman"/>
                <w:sz w:val="24"/>
                <w:szCs w:val="24"/>
                <w:highlight w:val="none"/>
              </w:rPr>
              <w:t>Доля от цены контракта, в %</w:t>
            </w:r>
          </w:p>
        </w:tc>
        <w:tc>
          <w:tcPr>
            <w:tcW w:w="2410" w:type="dxa"/>
            <w:tcBorders>
              <w:top w:val="single" w:color="auto" w:sz="4" w:space="0"/>
              <w:left w:val="single" w:color="auto" w:sz="4" w:space="0"/>
              <w:bottom w:val="single" w:color="auto" w:sz="4" w:space="0"/>
              <w:right w:val="single" w:color="auto" w:sz="4" w:space="0"/>
            </w:tcBorders>
          </w:tcPr>
          <w:p w14:paraId="5E16FEE7">
            <w:pPr>
              <w:rPr>
                <w:rFonts w:ascii="Times New Roman" w:hAnsi="Times New Roman" w:cs="Times New Roman"/>
                <w:sz w:val="24"/>
                <w:szCs w:val="24"/>
                <w:highlight w:val="none"/>
              </w:rPr>
            </w:pPr>
            <w:r>
              <w:rPr>
                <w:rFonts w:ascii="Times New Roman" w:hAnsi="Times New Roman" w:cs="Times New Roman"/>
                <w:sz w:val="24"/>
                <w:szCs w:val="24"/>
                <w:highlight w:val="none"/>
              </w:rPr>
              <w:t>25,00</w:t>
            </w:r>
          </w:p>
        </w:tc>
      </w:tr>
    </w:tbl>
    <w:tbl>
      <w:tblPr>
        <w:tblStyle w:val="9"/>
        <w:tblpPr w:leftFromText="180" w:rightFromText="180" w:vertAnchor="text" w:horzAnchor="page" w:tblpX="1180" w:tblpY="900"/>
        <w:tblW w:w="10172" w:type="dxa"/>
        <w:tblInd w:w="0" w:type="dxa"/>
        <w:tblLayout w:type="fixed"/>
        <w:tblCellMar>
          <w:top w:w="0" w:type="dxa"/>
          <w:left w:w="108" w:type="dxa"/>
          <w:bottom w:w="0" w:type="dxa"/>
          <w:right w:w="108" w:type="dxa"/>
        </w:tblCellMar>
      </w:tblPr>
      <w:tblGrid>
        <w:gridCol w:w="5250"/>
        <w:gridCol w:w="4922"/>
      </w:tblGrid>
      <w:tr w14:paraId="5F208ED3">
        <w:trPr>
          <w:trHeight w:val="1425" w:hRule="atLeast"/>
        </w:trPr>
        <w:tc>
          <w:tcPr>
            <w:tcW w:w="5250" w:type="dxa"/>
          </w:tcPr>
          <w:p w14:paraId="56DC0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Times New Roman" w:hAnsi="Times New Roman" w:cs="Times New Roman"/>
                <w:b/>
                <w:bCs/>
                <w:color w:val="333333"/>
                <w:sz w:val="24"/>
                <w:szCs w:val="24"/>
                <w:highlight w:val="none"/>
              </w:rPr>
            </w:pPr>
          </w:p>
          <w:p w14:paraId="7A56A6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Times New Roman" w:hAnsi="Times New Roman" w:cs="Times New Roman"/>
                <w:b/>
                <w:bCs/>
                <w:color w:val="333333"/>
                <w:sz w:val="24"/>
                <w:szCs w:val="24"/>
                <w:highlight w:val="none"/>
              </w:rPr>
            </w:pPr>
            <w:r>
              <w:rPr>
                <w:rFonts w:ascii="Times New Roman" w:hAnsi="Times New Roman" w:cs="Times New Roman"/>
                <w:b/>
                <w:bCs/>
                <w:color w:val="333333"/>
                <w:sz w:val="24"/>
                <w:szCs w:val="24"/>
                <w:highlight w:val="none"/>
              </w:rPr>
              <w:t xml:space="preserve">Заказчик </w:t>
            </w:r>
          </w:p>
          <w:p w14:paraId="061BC7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Times New Roman" w:hAnsi="Times New Roman" w:cs="Times New Roman"/>
                <w:b/>
                <w:bCs/>
                <w:color w:val="333333"/>
                <w:sz w:val="24"/>
                <w:szCs w:val="24"/>
                <w:highlight w:val="none"/>
              </w:rPr>
            </w:pPr>
            <w:r>
              <w:rPr>
                <w:rFonts w:ascii="Times New Roman" w:hAnsi="Times New Roman" w:cs="Times New Roman"/>
                <w:b/>
                <w:bCs/>
                <w:color w:val="333333"/>
                <w:sz w:val="24"/>
                <w:szCs w:val="24"/>
                <w:highlight w:val="none"/>
              </w:rPr>
              <w:t xml:space="preserve">____________________  </w:t>
            </w:r>
            <w:r>
              <w:rPr>
                <w:rFonts w:ascii="Times New Roman" w:hAnsi="Times New Roman" w:cs="Times New Roman"/>
                <w:b/>
                <w:bCs/>
                <w:sz w:val="24"/>
                <w:szCs w:val="24"/>
                <w:highlight w:val="none"/>
              </w:rPr>
              <w:t xml:space="preserve"> </w:t>
            </w:r>
            <w:r>
              <w:rPr>
                <w:rFonts w:ascii="Times New Roman" w:hAnsi="Times New Roman" w:cs="Times New Roman"/>
                <w:b/>
                <w:bCs/>
                <w:color w:val="333333"/>
                <w:sz w:val="24"/>
                <w:szCs w:val="24"/>
                <w:highlight w:val="none"/>
              </w:rPr>
              <w:t xml:space="preserve"> М.А. Сайпудинов</w:t>
            </w:r>
          </w:p>
          <w:p w14:paraId="791CB7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Times New Roman" w:hAnsi="Times New Roman" w:cs="Times New Roman"/>
                <w:b/>
                <w:bCs/>
                <w:color w:val="333333"/>
                <w:sz w:val="24"/>
                <w:szCs w:val="24"/>
                <w:highlight w:val="none"/>
              </w:rPr>
            </w:pPr>
            <w:r>
              <w:rPr>
                <w:rFonts w:ascii="Times New Roman" w:hAnsi="Times New Roman" w:cs="Times New Roman"/>
                <w:b/>
                <w:bCs/>
                <w:color w:val="333333"/>
                <w:sz w:val="24"/>
                <w:szCs w:val="24"/>
                <w:highlight w:val="none"/>
              </w:rPr>
              <w:t>М.П.</w:t>
            </w:r>
          </w:p>
        </w:tc>
        <w:tc>
          <w:tcPr>
            <w:tcW w:w="4922" w:type="dxa"/>
          </w:tcPr>
          <w:p w14:paraId="16D8F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Times New Roman" w:hAnsi="Times New Roman" w:cs="Times New Roman"/>
                <w:b/>
                <w:bCs/>
                <w:iCs/>
                <w:color w:val="333333"/>
                <w:sz w:val="24"/>
                <w:szCs w:val="24"/>
                <w:highlight w:val="none"/>
              </w:rPr>
            </w:pPr>
          </w:p>
          <w:p w14:paraId="5103D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Times New Roman" w:hAnsi="Times New Roman" w:cs="Times New Roman"/>
                <w:b/>
                <w:bCs/>
                <w:iCs/>
                <w:color w:val="333333"/>
                <w:sz w:val="24"/>
                <w:szCs w:val="24"/>
                <w:highlight w:val="none"/>
              </w:rPr>
            </w:pPr>
            <w:r>
              <w:rPr>
                <w:rFonts w:ascii="Times New Roman" w:hAnsi="Times New Roman" w:cs="Times New Roman"/>
                <w:b/>
                <w:bCs/>
                <w:iCs/>
                <w:color w:val="333333"/>
                <w:sz w:val="24"/>
                <w:szCs w:val="24"/>
                <w:highlight w:val="none"/>
              </w:rPr>
              <w:t>Подрядчик</w:t>
            </w:r>
          </w:p>
          <w:p w14:paraId="0FCEE9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Times New Roman" w:hAnsi="Times New Roman" w:cs="Times New Roman"/>
                <w:b/>
                <w:bCs/>
                <w:iCs/>
                <w:color w:val="333333"/>
                <w:sz w:val="24"/>
                <w:szCs w:val="24"/>
                <w:highlight w:val="none"/>
              </w:rPr>
            </w:pPr>
            <w:r>
              <w:rPr>
                <w:rFonts w:ascii="Times New Roman" w:hAnsi="Times New Roman" w:cs="Times New Roman"/>
                <w:b/>
                <w:bCs/>
                <w:iCs/>
                <w:color w:val="333333"/>
                <w:sz w:val="24"/>
                <w:szCs w:val="24"/>
                <w:highlight w:val="none"/>
              </w:rPr>
              <w:t xml:space="preserve">_________________ </w:t>
            </w:r>
            <w:r>
              <w:rPr>
                <w:rFonts w:ascii="Times New Roman" w:hAnsi="Times New Roman" w:cs="Times New Roman"/>
                <w:b/>
                <w:bCs/>
                <w:sz w:val="24"/>
                <w:szCs w:val="24"/>
                <w:highlight w:val="none"/>
              </w:rPr>
              <w:t xml:space="preserve"> А.А. Хасаев</w:t>
            </w:r>
          </w:p>
          <w:p w14:paraId="356D4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Times New Roman" w:hAnsi="Times New Roman" w:cs="Times New Roman"/>
                <w:b/>
                <w:bCs/>
                <w:iCs/>
                <w:color w:val="333333"/>
                <w:sz w:val="24"/>
                <w:szCs w:val="24"/>
                <w:highlight w:val="none"/>
              </w:rPr>
            </w:pPr>
            <w:r>
              <w:rPr>
                <w:rFonts w:ascii="Times New Roman" w:hAnsi="Times New Roman" w:cs="Times New Roman"/>
                <w:b/>
                <w:bCs/>
                <w:iCs/>
                <w:color w:val="333333"/>
                <w:sz w:val="24"/>
                <w:szCs w:val="24"/>
                <w:highlight w:val="none"/>
              </w:rPr>
              <w:t>М.П.</w:t>
            </w:r>
          </w:p>
        </w:tc>
      </w:tr>
    </w:tbl>
    <w:p w14:paraId="30F81C1F">
      <w:pPr>
        <w:widowControl w:val="0"/>
        <w:jc w:val="both"/>
        <w:rPr>
          <w:rFonts w:ascii="Times New Roman" w:hAnsi="Times New Roman" w:eastAsia="PT Astra Serif" w:cs="Times New Roman"/>
          <w:color w:val="000000"/>
          <w:sz w:val="24"/>
          <w:szCs w:val="24"/>
          <w:highlight w:val="none"/>
        </w:rPr>
      </w:pPr>
    </w:p>
    <w:p w14:paraId="6D927CA0">
      <w:pPr>
        <w:widowControl w:val="0"/>
        <w:jc w:val="both"/>
        <w:rPr>
          <w:rFonts w:ascii="Times New Roman" w:hAnsi="Times New Roman" w:eastAsia="PT Astra Serif" w:cs="Times New Roman"/>
          <w:color w:val="000000"/>
          <w:sz w:val="24"/>
          <w:szCs w:val="24"/>
          <w:highlight w:val="none"/>
        </w:rPr>
      </w:pPr>
    </w:p>
    <w:p w14:paraId="340840FF">
      <w:pPr>
        <w:widowControl w:val="0"/>
        <w:jc w:val="both"/>
        <w:rPr>
          <w:rFonts w:ascii="Times New Roman" w:hAnsi="Times New Roman" w:eastAsia="PT Astra Serif" w:cs="Times New Roman"/>
          <w:color w:val="000000"/>
          <w:sz w:val="24"/>
          <w:szCs w:val="24"/>
          <w:highlight w:val="none"/>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5"/>
      </w:tblGrid>
      <w:tr w14:paraId="4D2EA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Borders>
              <w:top w:val="double" w:color="auto" w:sz="12" w:space="0"/>
              <w:left w:val="double" w:color="auto" w:sz="12" w:space="0"/>
              <w:bottom w:val="double" w:color="auto" w:sz="12" w:space="0"/>
              <w:right w:val="double" w:color="auto" w:sz="12" w:space="0"/>
            </w:tcBorders>
          </w:tcPr>
          <w:p w14:paraId="486415C2">
            <w:pPr>
              <w:spacing w:before="0" w:after="0"/>
              <w:jc w:val="left"/>
            </w:pPr>
            <w:r>
              <w:rPr>
                <w:rFonts w:ascii="Calibri" w:hAnsi="Calibri" w:eastAsia="Calibri" w:cs="Calibri"/>
                <w:b/>
                <w:sz w:val="24"/>
              </w:rPr>
              <w:t>Данные электронной подписи</w:t>
            </w:r>
          </w:p>
          <w:p w14:paraId="3C33F2A4">
            <w:pPr>
              <w:spacing w:before="0" w:after="0"/>
              <w:jc w:val="left"/>
            </w:pPr>
            <w:r>
              <w:rPr>
                <w:rFonts w:ascii="Calibri" w:hAnsi="Calibri" w:eastAsia="Calibri" w:cs="Calibri"/>
                <w:b w:val="0"/>
                <w:sz w:val="20"/>
              </w:rPr>
              <w:t>Владелец: ХАСАЕВ АРАБИ АЛИЕВИЧ</w:t>
            </w:r>
          </w:p>
          <w:p w14:paraId="6DE330A6">
            <w:pPr>
              <w:spacing w:before="0" w:after="0"/>
              <w:jc w:val="left"/>
            </w:pPr>
            <w:r>
              <w:rPr>
                <w:rFonts w:ascii="Calibri" w:hAnsi="Calibri" w:eastAsia="Calibri" w:cs="Calibri"/>
                <w:b w:val="0"/>
                <w:sz w:val="20"/>
              </w:rPr>
              <w:t xml:space="preserve">Организация: ООО "ТСК "МЕГАПОЛИС", 054302999910 </w:t>
            </w:r>
          </w:p>
          <w:p w14:paraId="3C2104A3">
            <w:pPr>
              <w:spacing w:before="0" w:after="240"/>
            </w:pPr>
            <w:r>
              <w:rPr>
                <w:rFonts w:ascii="Calibri" w:hAnsi="Calibri" w:eastAsia="Calibri" w:cs="Calibri"/>
                <w:b w:val="0"/>
                <w:sz w:val="20"/>
              </w:rPr>
              <w:t>Подписано: 28.04.2025 17:50:53</w:t>
            </w:r>
          </w:p>
          <w:p w14:paraId="2157AA10">
            <w:pPr>
              <w:spacing w:before="0" w:after="0"/>
              <w:jc w:val="left"/>
            </w:pPr>
            <w:r>
              <w:rPr>
                <w:rFonts w:ascii="Calibri" w:hAnsi="Calibri" w:eastAsia="Calibri" w:cs="Calibri"/>
                <w:b/>
                <w:sz w:val="24"/>
              </w:rPr>
              <w:t>Данные сертификата</w:t>
            </w:r>
          </w:p>
          <w:p w14:paraId="3EADAFDF">
            <w:pPr>
              <w:spacing w:before="0" w:after="0"/>
              <w:jc w:val="left"/>
            </w:pPr>
            <w:r>
              <w:rPr>
                <w:rFonts w:ascii="Calibri" w:hAnsi="Calibri" w:eastAsia="Calibri" w:cs="Calibri"/>
                <w:b w:val="0"/>
                <w:sz w:val="20"/>
              </w:rPr>
              <w:t>Серийный номер:</w:t>
            </w:r>
          </w:p>
          <w:p w14:paraId="3E12DE61">
            <w:pPr>
              <w:spacing w:before="0" w:after="0"/>
              <w:jc w:val="left"/>
            </w:pPr>
            <w:r>
              <w:rPr>
                <w:rFonts w:ascii="Calibri" w:hAnsi="Calibri" w:eastAsia="Calibri" w:cs="Calibri"/>
                <w:b w:val="0"/>
                <w:sz w:val="20"/>
              </w:rPr>
              <w:t>02344CC100C0B111A342C6A33912A10BD0</w:t>
            </w:r>
          </w:p>
          <w:p w14:paraId="661F1A92">
            <w:pPr>
              <w:spacing w:before="0" w:after="0"/>
              <w:jc w:val="left"/>
            </w:pPr>
            <w:r>
              <w:rPr>
                <w:rFonts w:ascii="Calibri" w:hAnsi="Calibri" w:eastAsia="Calibri" w:cs="Calibri"/>
                <w:b w:val="0"/>
                <w:sz w:val="20"/>
              </w:rPr>
              <w:t>Срок действия: 02.08.2024 14:33:47 (МСК) - 02.11.2025 14:43:47 (МСК)</w:t>
            </w:r>
          </w:p>
        </w:tc>
        <w:tc>
          <w:tcPr>
            <w:tcW w:w="2500" w:type="pct"/>
            <w:tcBorders>
              <w:top w:val="double" w:color="auto" w:sz="12" w:space="0"/>
              <w:left w:val="double" w:color="auto" w:sz="12" w:space="0"/>
              <w:bottom w:val="double" w:color="auto" w:sz="12" w:space="0"/>
              <w:right w:val="double" w:color="auto" w:sz="12" w:space="0"/>
            </w:tcBorders>
          </w:tcPr>
          <w:p w14:paraId="66BA2694">
            <w:pPr>
              <w:spacing w:before="0" w:after="0"/>
              <w:jc w:val="left"/>
            </w:pPr>
            <w:r>
              <w:rPr>
                <w:rFonts w:ascii="Calibri" w:hAnsi="Calibri" w:eastAsia="Calibri" w:cs="Calibri"/>
                <w:b/>
                <w:sz w:val="24"/>
              </w:rPr>
              <w:t>Данные электронной подписи</w:t>
            </w:r>
          </w:p>
          <w:p w14:paraId="3CED7728">
            <w:pPr>
              <w:spacing w:before="0" w:after="0"/>
              <w:jc w:val="left"/>
            </w:pPr>
            <w:r>
              <w:rPr>
                <w:rFonts w:ascii="Calibri" w:hAnsi="Calibri" w:eastAsia="Calibri" w:cs="Calibri"/>
                <w:b w:val="0"/>
                <w:sz w:val="20"/>
              </w:rPr>
              <w:t>Владелец: Сайпудинов Магомед Абдулаевич</w:t>
            </w:r>
          </w:p>
          <w:p w14:paraId="562995BF">
            <w:pPr>
              <w:spacing w:before="0" w:after="0"/>
              <w:jc w:val="left"/>
            </w:pPr>
            <w:r>
              <w:rPr>
                <w:rFonts w:ascii="Calibri" w:hAnsi="Calibri" w:eastAsia="Calibri" w:cs="Calibri"/>
                <w:b w:val="0"/>
                <w:sz w:val="20"/>
              </w:rPr>
              <w:t xml:space="preserve">Организация: МУНИЦИПАЛЬНОЕ КАЗЕННОЕ УЧРЕЖДЕНИЕ "УПРАВЛЕНИЕ КАПИТАЛЬНОГО СТРОИТЕЛЬСТВА" ГОРОДСКОГО ОКРУГА "ГОРОД ДЕРБЕНТ", 053101206100 </w:t>
            </w:r>
          </w:p>
          <w:p w14:paraId="0153BE4E">
            <w:pPr>
              <w:spacing w:before="0" w:after="240"/>
            </w:pPr>
            <w:r>
              <w:rPr>
                <w:rFonts w:ascii="Calibri" w:hAnsi="Calibri" w:eastAsia="Calibri" w:cs="Calibri"/>
                <w:b w:val="0"/>
                <w:sz w:val="20"/>
              </w:rPr>
              <w:t>Подписано: 05.05.2025 14:48:11</w:t>
            </w:r>
          </w:p>
          <w:p w14:paraId="1B5A99C2">
            <w:pPr>
              <w:spacing w:before="0" w:after="0"/>
              <w:jc w:val="left"/>
            </w:pPr>
            <w:r>
              <w:rPr>
                <w:rFonts w:ascii="Calibri" w:hAnsi="Calibri" w:eastAsia="Calibri" w:cs="Calibri"/>
                <w:b/>
                <w:sz w:val="24"/>
              </w:rPr>
              <w:t>Данные сертификата</w:t>
            </w:r>
          </w:p>
          <w:p w14:paraId="6E57F5A8">
            <w:pPr>
              <w:spacing w:before="0" w:after="0"/>
              <w:jc w:val="left"/>
            </w:pPr>
            <w:r>
              <w:rPr>
                <w:rFonts w:ascii="Calibri" w:hAnsi="Calibri" w:eastAsia="Calibri" w:cs="Calibri"/>
                <w:b w:val="0"/>
                <w:sz w:val="20"/>
              </w:rPr>
              <w:t>Серийный номер:</w:t>
            </w:r>
          </w:p>
          <w:p w14:paraId="4589EBA7">
            <w:pPr>
              <w:spacing w:before="0" w:after="0"/>
              <w:jc w:val="left"/>
            </w:pPr>
            <w:r>
              <w:rPr>
                <w:rFonts w:ascii="Calibri" w:hAnsi="Calibri" w:eastAsia="Calibri" w:cs="Calibri"/>
                <w:b w:val="0"/>
                <w:sz w:val="20"/>
              </w:rPr>
              <w:t>775A376A2D06C787AB1E6D238D32E430</w:t>
            </w:r>
          </w:p>
          <w:p w14:paraId="04705D63">
            <w:pPr>
              <w:spacing w:before="0" w:after="0"/>
              <w:jc w:val="left"/>
            </w:pPr>
            <w:r>
              <w:rPr>
                <w:rFonts w:ascii="Calibri" w:hAnsi="Calibri" w:eastAsia="Calibri" w:cs="Calibri"/>
                <w:b w:val="0"/>
                <w:sz w:val="20"/>
              </w:rPr>
              <w:t>Срок действия: 24.04.2024 10:57:33 (МСК) - 18.07.2025 10:57:33 (МСК)</w:t>
            </w:r>
          </w:p>
        </w:tc>
      </w:tr>
      <w:tr w14:paraId="6666C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Borders>
              <w:top w:val="double" w:color="auto" w:sz="12" w:space="0"/>
              <w:left w:val="double" w:color="auto" w:sz="12" w:space="0"/>
              <w:bottom w:val="double" w:color="auto" w:sz="12" w:space="0"/>
              <w:right w:val="double" w:color="auto" w:sz="12" w:space="0"/>
            </w:tcBorders>
            <w:shd w:val="clear" w:color="auto" w:fill="FFE8CC"/>
            <w:vAlign w:val="center"/>
          </w:tcPr>
          <w:p w14:paraId="347B4DD2">
            <w:pPr>
              <w:spacing w:after="0"/>
              <w:jc w:val="center"/>
            </w:pPr>
            <w:r>
              <w:rPr>
                <w:rFonts w:ascii="Calibri" w:hAnsi="Calibri" w:eastAsia="Calibri" w:cs="Calibri"/>
                <w:b/>
                <w:sz w:val="20"/>
              </w:rPr>
              <w:t>Документ подписан электронной подписью</w:t>
            </w:r>
          </w:p>
        </w:tc>
        <w:tc>
          <w:tcPr>
            <w:tcW w:w="2500" w:type="pct"/>
            <w:tcBorders>
              <w:top w:val="double" w:color="auto" w:sz="12" w:space="0"/>
              <w:left w:val="double" w:color="auto" w:sz="12" w:space="0"/>
              <w:bottom w:val="double" w:color="auto" w:sz="12" w:space="0"/>
              <w:right w:val="double" w:color="auto" w:sz="12" w:space="0"/>
            </w:tcBorders>
            <w:shd w:val="clear" w:color="auto" w:fill="FFE8CC"/>
            <w:vAlign w:val="center"/>
          </w:tcPr>
          <w:p w14:paraId="33684B1C">
            <w:pPr>
              <w:spacing w:after="0"/>
              <w:jc w:val="center"/>
            </w:pPr>
            <w:r>
              <w:rPr>
                <w:rFonts w:ascii="Calibri" w:hAnsi="Calibri" w:eastAsia="Calibri" w:cs="Calibri"/>
                <w:b/>
                <w:sz w:val="20"/>
              </w:rPr>
              <w:t>Документ подписан электронной подписью</w:t>
            </w:r>
          </w:p>
        </w:tc>
      </w:tr>
    </w:tbl>
    <w:p w14:paraId="6CC2E7B2">
      <w:pPr>
        <w:widowControl w:val="0"/>
        <w:jc w:val="both"/>
        <w:rPr>
          <w:rFonts w:ascii="Times New Roman" w:hAnsi="Times New Roman" w:eastAsia="PT Astra Serif" w:cs="Times New Roman"/>
          <w:color w:val="000000"/>
          <w:sz w:val="24"/>
          <w:szCs w:val="24"/>
          <w:highlight w:val="none"/>
        </w:rPr>
      </w:pPr>
    </w:p>
    <w:p w14:paraId="491C4DD7">
      <w:pPr>
        <w:widowControl w:val="0"/>
        <w:jc w:val="both"/>
        <w:rPr>
          <w:rFonts w:ascii="Times New Roman" w:hAnsi="Times New Roman" w:eastAsia="PT Astra Serif" w:cs="Times New Roman"/>
          <w:color w:val="000000"/>
          <w:sz w:val="24"/>
          <w:szCs w:val="24"/>
          <w:highlight w:val="none"/>
        </w:rPr>
      </w:pPr>
    </w:p>
    <w:p w14:paraId="38970F91">
      <w:pPr>
        <w:widowControl w:val="0"/>
        <w:jc w:val="both"/>
        <w:rPr>
          <w:rFonts w:ascii="Times New Roman" w:hAnsi="Times New Roman" w:eastAsia="PT Astra Serif" w:cs="Times New Roman"/>
          <w:color w:val="000000"/>
          <w:sz w:val="24"/>
          <w:szCs w:val="24"/>
          <w:highlight w:val="none"/>
        </w:rPr>
      </w:pPr>
    </w:p>
    <w:p w14:paraId="0FDF0900">
      <w:pPr>
        <w:widowControl w:val="0"/>
        <w:jc w:val="both"/>
        <w:rPr>
          <w:rFonts w:ascii="Times New Roman" w:hAnsi="Times New Roman" w:eastAsia="PT Astra Serif" w:cs="Times New Roman"/>
          <w:color w:val="000000"/>
          <w:sz w:val="24"/>
          <w:szCs w:val="24"/>
          <w:highlight w:val="none"/>
        </w:rPr>
      </w:pPr>
    </w:p>
    <w:p w14:paraId="3FFD6073">
      <w:pPr>
        <w:widowControl w:val="0"/>
        <w:jc w:val="both"/>
        <w:rPr>
          <w:rFonts w:ascii="Times New Roman" w:hAnsi="Times New Roman" w:eastAsia="PT Astra Serif" w:cs="Times New Roman"/>
          <w:color w:val="000000"/>
          <w:sz w:val="24"/>
          <w:szCs w:val="24"/>
          <w:highlight w:val="none"/>
        </w:rPr>
      </w:pPr>
    </w:p>
    <w:p w14:paraId="0366257C">
      <w:pPr>
        <w:jc w:val="right"/>
        <w:rPr>
          <w:rFonts w:ascii="Times New Roman" w:hAnsi="Times New Roman" w:cs="Times New Roman"/>
          <w:sz w:val="24"/>
          <w:szCs w:val="24"/>
          <w:highlight w:val="none"/>
        </w:rPr>
      </w:pPr>
      <w:r>
        <w:rPr>
          <w:rFonts w:ascii="Times New Roman" w:hAnsi="Times New Roman" w:cs="Times New Roman"/>
          <w:sz w:val="24"/>
          <w:szCs w:val="24"/>
          <w:highlight w:val="none"/>
        </w:rPr>
        <w:t>Приложение № 4</w:t>
      </w:r>
    </w:p>
    <w:p w14:paraId="46528442">
      <w:pPr>
        <w:jc w:val="right"/>
        <w:rPr>
          <w:rFonts w:ascii="Times New Roman" w:hAnsi="Times New Roman" w:cs="Times New Roman"/>
          <w:sz w:val="24"/>
          <w:szCs w:val="24"/>
          <w:highlight w:val="none"/>
        </w:rPr>
      </w:pPr>
      <w:r>
        <w:rPr>
          <w:rFonts w:ascii="Times New Roman" w:hAnsi="Times New Roman" w:cs="Times New Roman"/>
          <w:sz w:val="24"/>
          <w:szCs w:val="24"/>
          <w:highlight w:val="none"/>
        </w:rPr>
        <w:t xml:space="preserve">к муниципальному контракту </w:t>
      </w:r>
    </w:p>
    <w:p w14:paraId="7D852A1E">
      <w:pPr>
        <w:jc w:val="right"/>
        <w:rPr>
          <w:rFonts w:ascii="Times New Roman" w:hAnsi="Times New Roman" w:cs="Times New Roman"/>
          <w:sz w:val="24"/>
          <w:szCs w:val="24"/>
          <w:highlight w:val="none"/>
        </w:rPr>
      </w:pPr>
      <w:r>
        <w:rPr>
          <w:rFonts w:ascii="Times New Roman" w:hAnsi="Times New Roman" w:cs="Times New Roman"/>
          <w:sz w:val="24"/>
          <w:szCs w:val="24"/>
          <w:highlight w:val="none"/>
        </w:rPr>
        <w:t xml:space="preserve">№ОК-25/005 от </w:t>
      </w:r>
      <w:r>
        <w:rPr>
          <w:rFonts w:hint="default" w:ascii="Times New Roman" w:hAnsi="Times New Roman" w:cs="Times New Roman"/>
          <w:sz w:val="24"/>
          <w:szCs w:val="24"/>
          <w:highlight w:val="none"/>
          <w:lang w:val="ru-RU"/>
        </w:rPr>
        <w:t>05.05.</w:t>
      </w:r>
      <w:r>
        <w:rPr>
          <w:rFonts w:ascii="Times New Roman" w:hAnsi="Times New Roman" w:cs="Times New Roman"/>
          <w:sz w:val="24"/>
          <w:szCs w:val="24"/>
          <w:highlight w:val="none"/>
        </w:rPr>
        <w:t xml:space="preserve">2025 г. </w:t>
      </w:r>
    </w:p>
    <w:p w14:paraId="4B480410">
      <w:pPr>
        <w:jc w:val="right"/>
        <w:rPr>
          <w:rFonts w:ascii="Times New Roman" w:hAnsi="Times New Roman" w:cs="Times New Roman"/>
          <w:sz w:val="24"/>
          <w:szCs w:val="24"/>
          <w:highlight w:val="none"/>
        </w:rPr>
      </w:pPr>
    </w:p>
    <w:p w14:paraId="3FF6CBC0">
      <w:pPr>
        <w:jc w:val="center"/>
        <w:rPr>
          <w:rFonts w:ascii="Times New Roman" w:hAnsi="Times New Roman" w:cs="Times New Roman"/>
          <w:sz w:val="24"/>
          <w:szCs w:val="24"/>
          <w:highlight w:val="none"/>
        </w:rPr>
      </w:pPr>
      <w:r>
        <w:rPr>
          <w:rFonts w:ascii="Times New Roman" w:hAnsi="Times New Roman" w:cs="Times New Roman"/>
          <w:sz w:val="24"/>
          <w:szCs w:val="24"/>
          <w:highlight w:val="none"/>
        </w:rPr>
        <w:t>Смета контракта (проект)</w:t>
      </w:r>
    </w:p>
    <w:p w14:paraId="6F4D5366">
      <w:pPr>
        <w:jc w:val="center"/>
        <w:rPr>
          <w:rFonts w:ascii="Times New Roman" w:hAnsi="Times New Roman" w:cs="Times New Roman"/>
          <w:sz w:val="24"/>
          <w:szCs w:val="24"/>
          <w:highlight w:val="none"/>
        </w:rPr>
      </w:pPr>
      <w:r>
        <w:rPr>
          <w:rFonts w:ascii="Times New Roman" w:hAnsi="Times New Roman" w:cs="Times New Roman"/>
          <w:sz w:val="24"/>
          <w:szCs w:val="24"/>
          <w:highlight w:val="none"/>
        </w:rPr>
        <w:t>(Приложено отдельным файлом)</w:t>
      </w:r>
    </w:p>
    <w:p w14:paraId="20F17D09">
      <w:pPr>
        <w:widowControl w:val="0"/>
        <w:jc w:val="both"/>
        <w:rPr>
          <w:rFonts w:ascii="Times New Roman" w:hAnsi="Times New Roman" w:eastAsia="PT Astra Serif" w:cs="Times New Roman"/>
          <w:color w:val="000000"/>
          <w:sz w:val="24"/>
          <w:szCs w:val="24"/>
          <w:highlight w:val="none"/>
        </w:rPr>
      </w:pPr>
    </w:p>
    <w:sectPr>
      <w:footerReference r:id="rId4" w:type="first"/>
      <w:footerReference r:id="rId3" w:type="even"/>
      <w:pgSz w:w="11906" w:h="16838"/>
      <w:pgMar w:top="1134" w:right="851" w:bottom="567" w:left="1701" w:header="720" w:footer="454"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CC"/>
    <w:family w:val="swiss"/>
    <w:pitch w:val="default"/>
    <w:sig w:usb0="E4002EFF" w:usb1="C000E47F"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Georgia">
    <w:panose1 w:val="02040502050405020303"/>
    <w:charset w:val="CC"/>
    <w:family w:val="roman"/>
    <w:pitch w:val="default"/>
    <w:sig w:usb0="00000287" w:usb1="00000000" w:usb2="00000000" w:usb3="00000000" w:csb0="2000009F" w:csb1="00000000"/>
  </w:font>
  <w:font w:name="PT Astra Serif">
    <w:altName w:val="Times New Roman"/>
    <w:panose1 w:val="00000000000000000000"/>
    <w:charset w:val="CC"/>
    <w:family w:val="roman"/>
    <w:pitch w:val="default"/>
    <w:sig w:usb0="00000000" w:usb1="00000000" w:usb2="00000020" w:usb3="00000000" w:csb0="00000097" w:csb1="00000000"/>
  </w:font>
  <w:font w:name="sans-serif">
    <w:altName w:val="Segoe Print"/>
    <w:panose1 w:val="00000000000000000000"/>
    <w:charset w:val="00"/>
    <w:family w:val="auto"/>
    <w:pitch w:val="default"/>
    <w:sig w:usb0="00000000" w:usb1="00000000" w:usb2="00000000" w:usb3="00000000" w:csb0="00000000" w:csb1="00000000"/>
  </w:font>
  <w:font w:name="Roboto">
    <w:altName w:val="Segoe Print"/>
    <w:panose1 w:val="00000000000000000000"/>
    <w:charset w:val="00"/>
    <w:family w:val="auto"/>
    <w:pitch w:val="default"/>
    <w:sig w:usb0="00000000" w:usb1="00000000" w:usb2="00000000" w:usb3="00000000" w:csb0="00000000" w:csb1="00000000"/>
  </w:font>
  <w:font w:name="Tahoma">
    <w:panose1 w:val="020B0604030504040204"/>
    <w:charset w:val="CC"/>
    <w:family w:val="swiss"/>
    <w:pitch w:val="default"/>
    <w:sig w:usb0="E1002EFF" w:usb1="C000605B" w:usb2="00000029" w:usb3="00000000" w:csb0="200101FF" w:csb1="20280000"/>
  </w:font>
  <w:font w:name="Verdana">
    <w:panose1 w:val="020B0604030504040204"/>
    <w:charset w:val="CC"/>
    <w:family w:val="swiss"/>
    <w:pitch w:val="default"/>
    <w:sig w:usb0="A00006FF" w:usb1="4000205B" w:usb2="00000010" w:usb3="00000000" w:csb0="2000019F" w:csb1="00000000"/>
  </w:font>
  <w:font w:name="MS Mincho">
    <w:altName w:val="MS Gothic"/>
    <w:panose1 w:val="02020609040205080304"/>
    <w:charset w:val="80"/>
    <w:family w:val="roman"/>
    <w:pitch w:val="default"/>
    <w:sig w:usb0="00000000" w:usb1="00000000" w:usb2="00000010" w:usb3="00000000" w:csb0="00020000" w:csb1="00000000"/>
  </w:font>
  <w:font w:name="MS PGothic">
    <w:panose1 w:val="020B0600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06A055">
    <w:pPr>
      <w:spacing w:after="85"/>
      <w:rPr>
        <w:rFonts w:ascii="Times New Roman" w:hAnsi="Times New Roman" w:eastAsia="Times New Roman" w:cs="Times New Roman"/>
        <w:color w:val="000000"/>
        <w:sz w:val="24"/>
        <w:szCs w:val="24"/>
      </w:rPr>
    </w:pPr>
    <w:r>
      <mc:AlternateContent>
        <mc:Choice Requires="wpg">
          <w:drawing>
            <wp:anchor distT="0" distB="0" distL="114300" distR="114300" simplePos="0" relativeHeight="251660288" behindDoc="0" locked="0" layoutInCell="1" allowOverlap="1">
              <wp:simplePos x="0" y="0"/>
              <wp:positionH relativeFrom="column">
                <wp:posOffset>-165735</wp:posOffset>
              </wp:positionH>
              <wp:positionV relativeFrom="paragraph">
                <wp:posOffset>0</wp:posOffset>
              </wp:positionV>
              <wp:extent cx="6103620" cy="39370"/>
              <wp:effectExtent l="5715" t="9525" r="5715" b="8255"/>
              <wp:wrapSquare wrapText="bothSides"/>
              <wp:docPr id="6" name="Group 4"/>
              <wp:cNvGraphicFramePr/>
              <a:graphic xmlns:a="http://schemas.openxmlformats.org/drawingml/2006/main">
                <a:graphicData uri="http://schemas.microsoft.com/office/word/2010/wordprocessingGroup">
                  <wpg:wgp>
                    <wpg:cNvGrpSpPr/>
                    <wpg:grpSpPr>
                      <a:xfrm>
                        <a:off x="0" y="0"/>
                        <a:ext cx="6103620" cy="39370"/>
                        <a:chOff x="0" y="0"/>
                        <a:chExt cx="61036" cy="393"/>
                      </a:xfrm>
                    </wpg:grpSpPr>
                    <wps:wsp>
                      <wps:cNvPr id="7" name="Полилиния 7"/>
                      <wps:cNvSpPr/>
                      <wps:spPr bwMode="auto">
                        <a:xfrm>
                          <a:off x="0" y="254"/>
                          <a:ext cx="61036" cy="139"/>
                        </a:xfrm>
                        <a:custGeom>
                          <a:avLst/>
                          <a:gdLst>
                            <a:gd name="T0" fmla="*/ 0 w 6103620"/>
                            <a:gd name="T1" fmla="*/ 0 h 13970"/>
                            <a:gd name="T2" fmla="*/ 0 w 6103620"/>
                            <a:gd name="T3" fmla="*/ 0 h 13970"/>
                            <a:gd name="T4" fmla="*/ 0 w 6103620"/>
                            <a:gd name="T5" fmla="*/ 0 h 13970"/>
                            <a:gd name="T6" fmla="*/ 0 w 6103620"/>
                            <a:gd name="T7" fmla="*/ 0 h 13970"/>
                            <a:gd name="T8" fmla="*/ 0 w 6103620"/>
                            <a:gd name="T9" fmla="*/ 0 h 13970"/>
                            <a:gd name="T10" fmla="*/ 0 60000 65536"/>
                            <a:gd name="T11" fmla="*/ 0 60000 65536"/>
                            <a:gd name="T12" fmla="*/ 0 60000 65536"/>
                            <a:gd name="T13" fmla="*/ 0 60000 65536"/>
                            <a:gd name="T14" fmla="*/ 0 60000 65536"/>
                            <a:gd name="T15" fmla="*/ 0 w 6103620"/>
                            <a:gd name="T16" fmla="*/ 0 h 13970"/>
                            <a:gd name="T17" fmla="*/ 6103620 w 6103620"/>
                            <a:gd name="T18" fmla="*/ 13970 h 13970"/>
                          </a:gdLst>
                          <a:ahLst/>
                          <a:cxnLst>
                            <a:cxn ang="T10">
                              <a:pos x="T0" y="T1"/>
                            </a:cxn>
                            <a:cxn ang="T11">
                              <a:pos x="T2" y="T3"/>
                            </a:cxn>
                            <a:cxn ang="T12">
                              <a:pos x="T4" y="T5"/>
                            </a:cxn>
                            <a:cxn ang="T13">
                              <a:pos x="T6" y="T7"/>
                            </a:cxn>
                            <a:cxn ang="T14">
                              <a:pos x="T8" y="T9"/>
                            </a:cxn>
                          </a:cxnLst>
                          <a:rect l="T15" t="T16" r="T17" b="T18"/>
                          <a:pathLst>
                            <a:path w="6103620" h="13970">
                              <a:moveTo>
                                <a:pt x="6103620" y="0"/>
                              </a:moveTo>
                              <a:lnTo>
                                <a:pt x="6103620" y="12700"/>
                              </a:lnTo>
                              <a:lnTo>
                                <a:pt x="0" y="13970"/>
                              </a:lnTo>
                              <a:lnTo>
                                <a:pt x="0" y="1270"/>
                              </a:lnTo>
                              <a:lnTo>
                                <a:pt x="6103620" y="0"/>
                              </a:lnTo>
                              <a:close/>
                            </a:path>
                          </a:pathLst>
                        </a:custGeom>
                        <a:solidFill>
                          <a:srgbClr val="000000"/>
                        </a:solidFill>
                        <a:ln>
                          <a:noFill/>
                        </a:ln>
                      </wps:spPr>
                      <wps:bodyPr rot="0" vert="horz" wrap="square" lIns="91440" tIns="45720" rIns="91440" bIns="45720" anchor="t" anchorCtr="0" upright="1">
                        <a:noAutofit/>
                      </wps:bodyPr>
                    </wps:wsp>
                    <wps:wsp>
                      <wps:cNvPr id="8" name="Полилиния 8"/>
                      <wps:cNvSpPr/>
                      <wps:spPr bwMode="auto">
                        <a:xfrm>
                          <a:off x="0" y="0"/>
                          <a:ext cx="61036" cy="139"/>
                        </a:xfrm>
                        <a:custGeom>
                          <a:avLst/>
                          <a:gdLst>
                            <a:gd name="T0" fmla="*/ 0 w 6103620"/>
                            <a:gd name="T1" fmla="*/ 0 h 13970"/>
                            <a:gd name="T2" fmla="*/ 0 w 6103620"/>
                            <a:gd name="T3" fmla="*/ 0 h 13970"/>
                            <a:gd name="T4" fmla="*/ 0 w 6103620"/>
                            <a:gd name="T5" fmla="*/ 0 h 13970"/>
                            <a:gd name="T6" fmla="*/ 0 w 6103620"/>
                            <a:gd name="T7" fmla="*/ 0 h 13970"/>
                            <a:gd name="T8" fmla="*/ 0 w 6103620"/>
                            <a:gd name="T9" fmla="*/ 0 h 13970"/>
                            <a:gd name="T10" fmla="*/ 0 60000 65536"/>
                            <a:gd name="T11" fmla="*/ 0 60000 65536"/>
                            <a:gd name="T12" fmla="*/ 0 60000 65536"/>
                            <a:gd name="T13" fmla="*/ 0 60000 65536"/>
                            <a:gd name="T14" fmla="*/ 0 60000 65536"/>
                            <a:gd name="T15" fmla="*/ 0 w 6103620"/>
                            <a:gd name="T16" fmla="*/ 0 h 13970"/>
                            <a:gd name="T17" fmla="*/ 6103620 w 6103620"/>
                            <a:gd name="T18" fmla="*/ 13970 h 13970"/>
                          </a:gdLst>
                          <a:ahLst/>
                          <a:cxnLst>
                            <a:cxn ang="T10">
                              <a:pos x="T0" y="T1"/>
                            </a:cxn>
                            <a:cxn ang="T11">
                              <a:pos x="T2" y="T3"/>
                            </a:cxn>
                            <a:cxn ang="T12">
                              <a:pos x="T4" y="T5"/>
                            </a:cxn>
                            <a:cxn ang="T13">
                              <a:pos x="T6" y="T7"/>
                            </a:cxn>
                            <a:cxn ang="T14">
                              <a:pos x="T8" y="T9"/>
                            </a:cxn>
                          </a:cxnLst>
                          <a:rect l="T15" t="T16" r="T17" b="T18"/>
                          <a:pathLst>
                            <a:path w="6103620" h="13970">
                              <a:moveTo>
                                <a:pt x="6103620" y="0"/>
                              </a:moveTo>
                              <a:lnTo>
                                <a:pt x="6103620" y="12700"/>
                              </a:lnTo>
                              <a:lnTo>
                                <a:pt x="0" y="13970"/>
                              </a:lnTo>
                              <a:lnTo>
                                <a:pt x="0" y="1270"/>
                              </a:lnTo>
                              <a:lnTo>
                                <a:pt x="6103620" y="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id="Group 4" o:spid="_x0000_s1026" o:spt="203" style="position:absolute;left:0pt;margin-left:-13.05pt;margin-top:0pt;height:3.1pt;width:480.6pt;mso-wrap-distance-bottom:0pt;mso-wrap-distance-left:9pt;mso-wrap-distance-right:9pt;mso-wrap-distance-top:0pt;z-index:251660288;mso-width-relative:page;mso-height-relative:page;" coordsize="61036,393" o:gfxdata="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">
              <o:lock v:ext="edit" aspectratio="f"/>
              <v:shape id="_x0000_s1026" o:spid="_x0000_s1026" o:spt="100" style="position:absolute;left:0;top:254;height:139;width:61036;" fillcolor="#000000" filled="t" stroked="f" coordsize="6103620,13970" o:gfxdata="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STsZmtwAAANoAAAAP&#10;AAAAAAAAAAEAIAAAACIAAABkcnMvZG93bnJldi54bWxQSwECFAAUAAAACACHTuJAMy8FnjsAAAA5&#10;AAAAEAAAAAAAAAABACAAAAAGAQAAZHJzL3NoYXBleG1sLnhtbFBLBQYAAAAABgAGAFsBAACwAwAA&#10;AAA=&#10;" path="m6103620,0l6103620,12700,0,13970,0,1270,6103620,0xe">
                <v:path o:connectlocs="0,0;0,0;0,0;0,0;0,0" o:connectangles="0,0,0,0,0"/>
                <v:fill on="t" focussize="0,0"/>
                <v:stroke on="f"/>
                <v:imagedata o:title=""/>
                <o:lock v:ext="edit" aspectratio="f"/>
              </v:shape>
              <v:shape id="_x0000_s1026" o:spid="_x0000_s1026" o:spt="100" style="position:absolute;left:0;top:0;height:139;width:61036;" fillcolor="#000000" filled="t" stroked="f" coordsize="6103620,13970" o:gfxdata="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Cj0VIUtAAAANoAAAAPAAAA&#10;AAAAAAEAIAAAACIAAABkcnMvZG93bnJldi54bWxQSwECFAAUAAAACACHTuJAMy8FnjsAAAA5AAAA&#10;EAAAAAAAAAABACAAAAADAQAAZHJzL3NoYXBleG1sLnhtbFBLBQYAAAAABgAGAFsBAACtAwAAAAA=&#10;" path="m6103620,0l6103620,12700,0,13970,0,1270,6103620,0xe">
                <v:path o:connectlocs="0,0;0,0;0,0;0,0;0,0" o:connectangles="0,0,0,0,0"/>
                <v:fill on="t" focussize="0,0"/>
                <v:stroke on="f"/>
                <v:imagedata o:title=""/>
                <o:lock v:ext="edit" aspectratio="f"/>
              </v:shape>
              <w10:wrap type="square"/>
            </v:group>
          </w:pict>
        </mc:Fallback>
      </mc:AlternateContent>
    </w:r>
  </w:p>
  <w:p w14:paraId="09C9FD49">
    <w:pPr>
      <w:rPr>
        <w:rFonts w:ascii="Times New Roman" w:hAnsi="Times New Roman" w:eastAsia="Times New Roman" w:cs="Times New Roman"/>
        <w:color w:val="000000"/>
        <w:sz w:val="24"/>
        <w:szCs w:val="24"/>
      </w:rPr>
    </w:pPr>
    <w:r>
      <w:rPr>
        <w:rFonts w:ascii="Arial" w:hAnsi="Arial" w:eastAsia="Arial" w:cs="Arial"/>
        <w:color w:val="000000"/>
        <w:sz w:val="16"/>
        <w:szCs w:val="16"/>
      </w:rPr>
      <w:t xml:space="preserve">НОУ «ВШДО». Форма типового контракта. </w:t>
    </w:r>
    <w:r>
      <w:rPr>
        <w:rFonts w:ascii="Arial" w:hAnsi="Arial" w:eastAsia="Arial" w:cs="Arial"/>
        <w:color w:val="000000"/>
        <w:sz w:val="16"/>
        <w:szCs w:val="16"/>
      </w:rPr>
      <w:tab/>
    </w:r>
    <w:r>
      <w:rPr>
        <w:rFonts w:ascii="Arial" w:hAnsi="Arial" w:eastAsia="Arial" w:cs="Arial"/>
        <w:color w:val="000000"/>
        <w:sz w:val="16"/>
        <w:szCs w:val="16"/>
      </w:rPr>
      <w:t xml:space="preserve">= </w:t>
    </w:r>
    <w:r>
      <w:rPr>
        <w:rFonts w:ascii="Times New Roman" w:hAnsi="Times New Roman" w:eastAsia="Times New Roman" w:cs="Times New Roman"/>
        <w:color w:val="000000"/>
        <w:sz w:val="24"/>
        <w:szCs w:val="24"/>
      </w:rPr>
      <w:fldChar w:fldCharType="begin"/>
    </w:r>
    <w:r>
      <w:rPr>
        <w:rFonts w:ascii="Times New Roman" w:hAnsi="Times New Roman" w:eastAsia="Times New Roman" w:cs="Times New Roman"/>
        <w:color w:val="000000"/>
        <w:sz w:val="24"/>
        <w:szCs w:val="24"/>
      </w:rPr>
      <w:instrText xml:space="preserve">PAGE</w:instrText>
    </w:r>
    <w:r>
      <w:rPr>
        <w:rFonts w:ascii="Times New Roman" w:hAnsi="Times New Roman" w:eastAsia="Times New Roman" w:cs="Times New Roman"/>
        <w:color w:val="000000"/>
        <w:sz w:val="24"/>
        <w:szCs w:val="24"/>
      </w:rPr>
      <w:fldChar w:fldCharType="end"/>
    </w:r>
    <w:r>
      <w:rPr>
        <w:rFonts w:ascii="Arial" w:hAnsi="Arial" w:eastAsia="Arial" w:cs="Arial"/>
        <w:color w:val="000000"/>
        <w:sz w:val="16"/>
        <w:szCs w:val="16"/>
      </w:rPr>
      <w:t xml:space="preserve"> = </w:t>
    </w:r>
    <w:r>
      <w:rPr>
        <w:rFonts w:ascii="Arial" w:hAnsi="Arial" w:eastAsia="Arial" w:cs="Arial"/>
        <w:color w:val="000000"/>
        <w:sz w:val="16"/>
        <w:szCs w:val="16"/>
      </w:rPr>
      <w:tab/>
    </w:r>
    <w:r>
      <w:rPr>
        <w:rFonts w:ascii="Arial" w:hAnsi="Arial" w:eastAsia="Arial" w:cs="Arial"/>
        <w:color w:val="000000"/>
        <w:sz w:val="16"/>
        <w:szCs w:val="16"/>
      </w:rPr>
      <w:t xml:space="preserve">www.vshdo.ru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C9F9E9">
    <w:pPr>
      <w:spacing w:after="85"/>
      <w:rPr>
        <w:rFonts w:ascii="Times New Roman" w:hAnsi="Times New Roman" w:eastAsia="Times New Roman" w:cs="Times New Roman"/>
        <w:color w:val="000000"/>
        <w:sz w:val="24"/>
        <w:szCs w:val="24"/>
      </w:rPr>
    </w:pPr>
    <w:r>
      <mc:AlternateContent>
        <mc:Choice Requires="wpg">
          <w:drawing>
            <wp:anchor distT="0" distB="0" distL="114300" distR="114300" simplePos="0" relativeHeight="251659264" behindDoc="0" locked="0" layoutInCell="1" allowOverlap="1">
              <wp:simplePos x="0" y="0"/>
              <wp:positionH relativeFrom="column">
                <wp:posOffset>-165735</wp:posOffset>
              </wp:positionH>
              <wp:positionV relativeFrom="paragraph">
                <wp:posOffset>0</wp:posOffset>
              </wp:positionV>
              <wp:extent cx="6103620" cy="39370"/>
              <wp:effectExtent l="5715" t="9525" r="5715" b="8255"/>
              <wp:wrapSquare wrapText="bothSides"/>
              <wp:docPr id="3" name="Group 1"/>
              <wp:cNvGraphicFramePr/>
              <a:graphic xmlns:a="http://schemas.openxmlformats.org/drawingml/2006/main">
                <a:graphicData uri="http://schemas.microsoft.com/office/word/2010/wordprocessingGroup">
                  <wpg:wgp>
                    <wpg:cNvGrpSpPr/>
                    <wpg:grpSpPr>
                      <a:xfrm>
                        <a:off x="0" y="0"/>
                        <a:ext cx="6103620" cy="39370"/>
                        <a:chOff x="0" y="0"/>
                        <a:chExt cx="61036" cy="393"/>
                      </a:xfrm>
                    </wpg:grpSpPr>
                    <wps:wsp>
                      <wps:cNvPr id="4" name="Полилиния 2"/>
                      <wps:cNvSpPr/>
                      <wps:spPr bwMode="auto">
                        <a:xfrm>
                          <a:off x="0" y="254"/>
                          <a:ext cx="61036" cy="139"/>
                        </a:xfrm>
                        <a:custGeom>
                          <a:avLst/>
                          <a:gdLst>
                            <a:gd name="T0" fmla="*/ 0 w 6103620"/>
                            <a:gd name="T1" fmla="*/ 0 h 13970"/>
                            <a:gd name="T2" fmla="*/ 0 w 6103620"/>
                            <a:gd name="T3" fmla="*/ 0 h 13970"/>
                            <a:gd name="T4" fmla="*/ 0 w 6103620"/>
                            <a:gd name="T5" fmla="*/ 0 h 13970"/>
                            <a:gd name="T6" fmla="*/ 0 w 6103620"/>
                            <a:gd name="T7" fmla="*/ 0 h 13970"/>
                            <a:gd name="T8" fmla="*/ 0 w 6103620"/>
                            <a:gd name="T9" fmla="*/ 0 h 13970"/>
                            <a:gd name="T10" fmla="*/ 0 60000 65536"/>
                            <a:gd name="T11" fmla="*/ 0 60000 65536"/>
                            <a:gd name="T12" fmla="*/ 0 60000 65536"/>
                            <a:gd name="T13" fmla="*/ 0 60000 65536"/>
                            <a:gd name="T14" fmla="*/ 0 60000 65536"/>
                            <a:gd name="T15" fmla="*/ 0 w 6103620"/>
                            <a:gd name="T16" fmla="*/ 0 h 13970"/>
                            <a:gd name="T17" fmla="*/ 6103620 w 6103620"/>
                            <a:gd name="T18" fmla="*/ 13970 h 13970"/>
                          </a:gdLst>
                          <a:ahLst/>
                          <a:cxnLst>
                            <a:cxn ang="T10">
                              <a:pos x="T0" y="T1"/>
                            </a:cxn>
                            <a:cxn ang="T11">
                              <a:pos x="T2" y="T3"/>
                            </a:cxn>
                            <a:cxn ang="T12">
                              <a:pos x="T4" y="T5"/>
                            </a:cxn>
                            <a:cxn ang="T13">
                              <a:pos x="T6" y="T7"/>
                            </a:cxn>
                            <a:cxn ang="T14">
                              <a:pos x="T8" y="T9"/>
                            </a:cxn>
                          </a:cxnLst>
                          <a:rect l="T15" t="T16" r="T17" b="T18"/>
                          <a:pathLst>
                            <a:path w="6103620" h="13970">
                              <a:moveTo>
                                <a:pt x="6103620" y="0"/>
                              </a:moveTo>
                              <a:lnTo>
                                <a:pt x="6103620" y="12700"/>
                              </a:lnTo>
                              <a:lnTo>
                                <a:pt x="0" y="13970"/>
                              </a:lnTo>
                              <a:lnTo>
                                <a:pt x="0" y="1270"/>
                              </a:lnTo>
                              <a:lnTo>
                                <a:pt x="6103620" y="0"/>
                              </a:lnTo>
                              <a:close/>
                            </a:path>
                          </a:pathLst>
                        </a:custGeom>
                        <a:solidFill>
                          <a:srgbClr val="000000"/>
                        </a:solidFill>
                        <a:ln>
                          <a:noFill/>
                        </a:ln>
                      </wps:spPr>
                      <wps:bodyPr rot="0" vert="horz" wrap="square" lIns="91440" tIns="45720" rIns="91440" bIns="45720" anchor="t" anchorCtr="0" upright="1">
                        <a:noAutofit/>
                      </wps:bodyPr>
                    </wps:wsp>
                    <wps:wsp>
                      <wps:cNvPr id="5" name="Полилиния 5"/>
                      <wps:cNvSpPr/>
                      <wps:spPr bwMode="auto">
                        <a:xfrm>
                          <a:off x="0" y="0"/>
                          <a:ext cx="61036" cy="139"/>
                        </a:xfrm>
                        <a:custGeom>
                          <a:avLst/>
                          <a:gdLst>
                            <a:gd name="T0" fmla="*/ 0 w 6103620"/>
                            <a:gd name="T1" fmla="*/ 0 h 13970"/>
                            <a:gd name="T2" fmla="*/ 0 w 6103620"/>
                            <a:gd name="T3" fmla="*/ 0 h 13970"/>
                            <a:gd name="T4" fmla="*/ 0 w 6103620"/>
                            <a:gd name="T5" fmla="*/ 0 h 13970"/>
                            <a:gd name="T6" fmla="*/ 0 w 6103620"/>
                            <a:gd name="T7" fmla="*/ 0 h 13970"/>
                            <a:gd name="T8" fmla="*/ 0 w 6103620"/>
                            <a:gd name="T9" fmla="*/ 0 h 13970"/>
                            <a:gd name="T10" fmla="*/ 0 60000 65536"/>
                            <a:gd name="T11" fmla="*/ 0 60000 65536"/>
                            <a:gd name="T12" fmla="*/ 0 60000 65536"/>
                            <a:gd name="T13" fmla="*/ 0 60000 65536"/>
                            <a:gd name="T14" fmla="*/ 0 60000 65536"/>
                            <a:gd name="T15" fmla="*/ 0 w 6103620"/>
                            <a:gd name="T16" fmla="*/ 0 h 13970"/>
                            <a:gd name="T17" fmla="*/ 6103620 w 6103620"/>
                            <a:gd name="T18" fmla="*/ 13970 h 13970"/>
                          </a:gdLst>
                          <a:ahLst/>
                          <a:cxnLst>
                            <a:cxn ang="T10">
                              <a:pos x="T0" y="T1"/>
                            </a:cxn>
                            <a:cxn ang="T11">
                              <a:pos x="T2" y="T3"/>
                            </a:cxn>
                            <a:cxn ang="T12">
                              <a:pos x="T4" y="T5"/>
                            </a:cxn>
                            <a:cxn ang="T13">
                              <a:pos x="T6" y="T7"/>
                            </a:cxn>
                            <a:cxn ang="T14">
                              <a:pos x="T8" y="T9"/>
                            </a:cxn>
                          </a:cxnLst>
                          <a:rect l="T15" t="T16" r="T17" b="T18"/>
                          <a:pathLst>
                            <a:path w="6103620" h="13970">
                              <a:moveTo>
                                <a:pt x="6103620" y="0"/>
                              </a:moveTo>
                              <a:lnTo>
                                <a:pt x="6103620" y="12700"/>
                              </a:lnTo>
                              <a:lnTo>
                                <a:pt x="0" y="13970"/>
                              </a:lnTo>
                              <a:lnTo>
                                <a:pt x="0" y="1270"/>
                              </a:lnTo>
                              <a:lnTo>
                                <a:pt x="6103620" y="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id="Group 1" o:spid="_x0000_s1026" o:spt="203" style="position:absolute;left:0pt;margin-left:-13.05pt;margin-top:0pt;height:3.1pt;width:480.6pt;mso-wrap-distance-bottom:0pt;mso-wrap-distance-left:9pt;mso-wrap-distance-right:9pt;mso-wrap-distance-top:0pt;z-index:251659264;mso-width-relative:page;mso-height-relative:page;" coordsize="61036,393" o:gfxdata="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">
              <o:lock v:ext="edit" aspectratio="f"/>
              <v:shape id="Полилиния 2" o:spid="_x0000_s1026" o:spt="100" style="position:absolute;left:0;top:254;height:139;width:61036;" fillcolor="#000000" filled="t" stroked="f" coordsize="6103620,13970" o:gfxdata="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pxYEbsAAADa&#10;AAAADwAAAAAAAAABACAAAAAiAAAAZHJzL2Rvd25yZXYueG1sUEsBAhQAFAAAAAgAh07iQDMvBZ47&#10;AAAAOQAAABAAAAAAAAAAAQAgAAAACgEAAGRycy9zaGFwZXhtbC54bWxQSwUGAAAAAAYABgBbAQAA&#10;tAMAAAAA&#10;" path="m6103620,0l6103620,12700,0,13970,0,1270,6103620,0xe">
                <v:path o:connectlocs="0,0;0,0;0,0;0,0;0,0" o:connectangles="0,0,0,0,0"/>
                <v:fill on="t" focussize="0,0"/>
                <v:stroke on="f"/>
                <v:imagedata o:title=""/>
                <o:lock v:ext="edit" aspectratio="f"/>
              </v:shape>
              <v:shape id="_x0000_s1026" o:spid="_x0000_s1026" o:spt="100" style="position:absolute;left:0;top:0;height:139;width:61036;" fillcolor="#000000" filled="t" stroked="f" coordsize="6103620,13970" o:gfxdata="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N0P2KtwAAANoAAAAP&#10;AAAAAAAAAAEAIAAAACIAAABkcnMvZG93bnJldi54bWxQSwECFAAUAAAACACHTuJAMy8FnjsAAAA5&#10;AAAAEAAAAAAAAAABACAAAAAGAQAAZHJzL3NoYXBleG1sLnhtbFBLBQYAAAAABgAGAFsBAACwAwAA&#10;AAA=&#10;" path="m6103620,0l6103620,12700,0,13970,0,1270,6103620,0xe">
                <v:path o:connectlocs="0,0;0,0;0,0;0,0;0,0" o:connectangles="0,0,0,0,0"/>
                <v:fill on="t" focussize="0,0"/>
                <v:stroke on="f"/>
                <v:imagedata o:title=""/>
                <o:lock v:ext="edit" aspectratio="f"/>
              </v:shape>
              <w10:wrap type="square"/>
            </v:group>
          </w:pict>
        </mc:Fallback>
      </mc:AlternateContent>
    </w:r>
  </w:p>
  <w:p w14:paraId="5031A437">
    <w:pPr>
      <w:rPr>
        <w:rFonts w:ascii="Times New Roman" w:hAnsi="Times New Roman" w:eastAsia="Times New Roman" w:cs="Times New Roman"/>
        <w:color w:val="000000"/>
        <w:sz w:val="24"/>
        <w:szCs w:val="24"/>
      </w:rPr>
    </w:pPr>
    <w:r>
      <w:rPr>
        <w:rFonts w:ascii="Arial" w:hAnsi="Arial" w:eastAsia="Arial" w:cs="Arial"/>
        <w:color w:val="000000"/>
        <w:sz w:val="16"/>
        <w:szCs w:val="16"/>
      </w:rPr>
      <w:t xml:space="preserve">НОУ «ВШДО». Форма типового контракта. </w:t>
    </w:r>
    <w:r>
      <w:rPr>
        <w:rFonts w:ascii="Arial" w:hAnsi="Arial" w:eastAsia="Arial" w:cs="Arial"/>
        <w:color w:val="000000"/>
        <w:sz w:val="16"/>
        <w:szCs w:val="16"/>
      </w:rPr>
      <w:tab/>
    </w:r>
    <w:r>
      <w:rPr>
        <w:rFonts w:ascii="Arial" w:hAnsi="Arial" w:eastAsia="Arial" w:cs="Arial"/>
        <w:color w:val="000000"/>
        <w:sz w:val="16"/>
        <w:szCs w:val="16"/>
      </w:rPr>
      <w:t xml:space="preserve">= </w:t>
    </w:r>
    <w:r>
      <w:rPr>
        <w:rFonts w:ascii="Times New Roman" w:hAnsi="Times New Roman" w:eastAsia="Times New Roman" w:cs="Times New Roman"/>
        <w:color w:val="000000"/>
        <w:sz w:val="24"/>
        <w:szCs w:val="24"/>
      </w:rPr>
      <w:fldChar w:fldCharType="begin"/>
    </w:r>
    <w:r>
      <w:rPr>
        <w:rFonts w:ascii="Times New Roman" w:hAnsi="Times New Roman" w:eastAsia="Times New Roman" w:cs="Times New Roman"/>
        <w:color w:val="000000"/>
        <w:sz w:val="24"/>
        <w:szCs w:val="24"/>
      </w:rPr>
      <w:instrText xml:space="preserve">PAGE</w:instrText>
    </w:r>
    <w:r>
      <w:rPr>
        <w:rFonts w:ascii="Times New Roman" w:hAnsi="Times New Roman" w:eastAsia="Times New Roman" w:cs="Times New Roman"/>
        <w:color w:val="000000"/>
        <w:sz w:val="24"/>
        <w:szCs w:val="24"/>
      </w:rPr>
      <w:fldChar w:fldCharType="end"/>
    </w:r>
    <w:r>
      <w:rPr>
        <w:rFonts w:ascii="Arial" w:hAnsi="Arial" w:eastAsia="Arial" w:cs="Arial"/>
        <w:color w:val="000000"/>
        <w:sz w:val="16"/>
        <w:szCs w:val="16"/>
      </w:rPr>
      <w:t xml:space="preserve"> = </w:t>
    </w:r>
    <w:r>
      <w:rPr>
        <w:rFonts w:ascii="Arial" w:hAnsi="Arial" w:eastAsia="Arial" w:cs="Arial"/>
        <w:color w:val="000000"/>
        <w:sz w:val="16"/>
        <w:szCs w:val="16"/>
      </w:rPr>
      <w:tab/>
    </w:r>
    <w:r>
      <w:rPr>
        <w:rFonts w:ascii="Arial" w:hAnsi="Arial" w:eastAsia="Arial" w:cs="Arial"/>
        <w:color w:val="000000"/>
        <w:sz w:val="16"/>
        <w:szCs w:val="16"/>
      </w:rPr>
      <w:t xml:space="preserve">www.vshdo.ru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9618F4"/>
    <w:multiLevelType w:val="multilevel"/>
    <w:tmpl w:val="3C9618F4"/>
    <w:lvl w:ilvl="0" w:tentative="0">
      <w:start w:val="1"/>
      <w:numFmt w:val="russianLower"/>
      <w:lvlText w:val="%1)"/>
      <w:lvlJc w:val="left"/>
      <w:pPr>
        <w:ind w:left="1287" w:hanging="360"/>
      </w:pPr>
      <w:rPr>
        <w:rFonts w:hint="default" w:ascii="Times New Roman" w:hAnsi="Times New Roman"/>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noPunctuationKerning w:val="1"/>
  <w:characterSpacingControl w:val="doNotCompress"/>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0597"/>
    <w:rsid w:val="000012A7"/>
    <w:rsid w:val="00003DC0"/>
    <w:rsid w:val="00030F55"/>
    <w:rsid w:val="00031372"/>
    <w:rsid w:val="00062E6B"/>
    <w:rsid w:val="00063A5C"/>
    <w:rsid w:val="00063D2A"/>
    <w:rsid w:val="000728DA"/>
    <w:rsid w:val="000A521A"/>
    <w:rsid w:val="000B5E38"/>
    <w:rsid w:val="000C11BC"/>
    <w:rsid w:val="000C6938"/>
    <w:rsid w:val="000C6AAD"/>
    <w:rsid w:val="000C7D10"/>
    <w:rsid w:val="000D018E"/>
    <w:rsid w:val="000E4ED6"/>
    <w:rsid w:val="000E795A"/>
    <w:rsid w:val="001025D2"/>
    <w:rsid w:val="0011395D"/>
    <w:rsid w:val="00124DC7"/>
    <w:rsid w:val="00150DBE"/>
    <w:rsid w:val="00154699"/>
    <w:rsid w:val="001568D3"/>
    <w:rsid w:val="0016257B"/>
    <w:rsid w:val="001831C0"/>
    <w:rsid w:val="001A3E84"/>
    <w:rsid w:val="001A529C"/>
    <w:rsid w:val="001C02A8"/>
    <w:rsid w:val="001D195E"/>
    <w:rsid w:val="001D3FAF"/>
    <w:rsid w:val="001F361C"/>
    <w:rsid w:val="001F6481"/>
    <w:rsid w:val="001F65CE"/>
    <w:rsid w:val="002302FE"/>
    <w:rsid w:val="00235102"/>
    <w:rsid w:val="00254A89"/>
    <w:rsid w:val="00292EA1"/>
    <w:rsid w:val="0029777F"/>
    <w:rsid w:val="002B0A47"/>
    <w:rsid w:val="002D4940"/>
    <w:rsid w:val="002E21A5"/>
    <w:rsid w:val="002E797B"/>
    <w:rsid w:val="002F0B5F"/>
    <w:rsid w:val="002F6FAE"/>
    <w:rsid w:val="003102A2"/>
    <w:rsid w:val="003112D8"/>
    <w:rsid w:val="003179FC"/>
    <w:rsid w:val="003220C3"/>
    <w:rsid w:val="003251C9"/>
    <w:rsid w:val="00335B3A"/>
    <w:rsid w:val="003438F1"/>
    <w:rsid w:val="00362D86"/>
    <w:rsid w:val="003707A2"/>
    <w:rsid w:val="003874B6"/>
    <w:rsid w:val="00391866"/>
    <w:rsid w:val="00392138"/>
    <w:rsid w:val="0039281A"/>
    <w:rsid w:val="003942C5"/>
    <w:rsid w:val="003A7106"/>
    <w:rsid w:val="003A7983"/>
    <w:rsid w:val="003B1EEA"/>
    <w:rsid w:val="003B6F24"/>
    <w:rsid w:val="003D0445"/>
    <w:rsid w:val="003E5383"/>
    <w:rsid w:val="00412E1D"/>
    <w:rsid w:val="00422CCA"/>
    <w:rsid w:val="00446606"/>
    <w:rsid w:val="00457A38"/>
    <w:rsid w:val="00462747"/>
    <w:rsid w:val="00477451"/>
    <w:rsid w:val="004965DE"/>
    <w:rsid w:val="004D5896"/>
    <w:rsid w:val="004D60BA"/>
    <w:rsid w:val="004F11F4"/>
    <w:rsid w:val="00500773"/>
    <w:rsid w:val="00501DF8"/>
    <w:rsid w:val="00502A5B"/>
    <w:rsid w:val="00502FBC"/>
    <w:rsid w:val="00506FE9"/>
    <w:rsid w:val="005217A0"/>
    <w:rsid w:val="00525365"/>
    <w:rsid w:val="005362ED"/>
    <w:rsid w:val="00536769"/>
    <w:rsid w:val="005506DE"/>
    <w:rsid w:val="00565135"/>
    <w:rsid w:val="00585CA9"/>
    <w:rsid w:val="0059101A"/>
    <w:rsid w:val="005926F3"/>
    <w:rsid w:val="00595241"/>
    <w:rsid w:val="00596E50"/>
    <w:rsid w:val="00597AA1"/>
    <w:rsid w:val="005B2D93"/>
    <w:rsid w:val="005C0520"/>
    <w:rsid w:val="005C0C3E"/>
    <w:rsid w:val="005E51DC"/>
    <w:rsid w:val="005F4BAD"/>
    <w:rsid w:val="00620028"/>
    <w:rsid w:val="00622989"/>
    <w:rsid w:val="00622FEC"/>
    <w:rsid w:val="00625A2E"/>
    <w:rsid w:val="0063624E"/>
    <w:rsid w:val="00643602"/>
    <w:rsid w:val="006615BD"/>
    <w:rsid w:val="00670053"/>
    <w:rsid w:val="00672630"/>
    <w:rsid w:val="006736D0"/>
    <w:rsid w:val="00687EC1"/>
    <w:rsid w:val="00697593"/>
    <w:rsid w:val="006A3DCD"/>
    <w:rsid w:val="006A4D59"/>
    <w:rsid w:val="006A69FE"/>
    <w:rsid w:val="006A7444"/>
    <w:rsid w:val="006B6AD9"/>
    <w:rsid w:val="006B6F9C"/>
    <w:rsid w:val="006C6446"/>
    <w:rsid w:val="006D0DF5"/>
    <w:rsid w:val="006D39CF"/>
    <w:rsid w:val="006D3DE9"/>
    <w:rsid w:val="006D3E2E"/>
    <w:rsid w:val="006D565E"/>
    <w:rsid w:val="006E7B13"/>
    <w:rsid w:val="006F3ED1"/>
    <w:rsid w:val="0071261A"/>
    <w:rsid w:val="00716FEC"/>
    <w:rsid w:val="0071789B"/>
    <w:rsid w:val="00730597"/>
    <w:rsid w:val="00743D2A"/>
    <w:rsid w:val="007461E3"/>
    <w:rsid w:val="007867E1"/>
    <w:rsid w:val="007A6AC7"/>
    <w:rsid w:val="007C70A8"/>
    <w:rsid w:val="007D58EB"/>
    <w:rsid w:val="007D5BEE"/>
    <w:rsid w:val="007E1E66"/>
    <w:rsid w:val="007E7712"/>
    <w:rsid w:val="00802E35"/>
    <w:rsid w:val="00810951"/>
    <w:rsid w:val="008253C0"/>
    <w:rsid w:val="0084079F"/>
    <w:rsid w:val="00845311"/>
    <w:rsid w:val="00860A9C"/>
    <w:rsid w:val="0086208F"/>
    <w:rsid w:val="0086218C"/>
    <w:rsid w:val="008807E4"/>
    <w:rsid w:val="008928DE"/>
    <w:rsid w:val="008979F3"/>
    <w:rsid w:val="008A37AA"/>
    <w:rsid w:val="008B3890"/>
    <w:rsid w:val="008B39B9"/>
    <w:rsid w:val="008B7C58"/>
    <w:rsid w:val="008C6C0E"/>
    <w:rsid w:val="008D51C1"/>
    <w:rsid w:val="008E769A"/>
    <w:rsid w:val="008F097C"/>
    <w:rsid w:val="0093512E"/>
    <w:rsid w:val="0094068B"/>
    <w:rsid w:val="009454D3"/>
    <w:rsid w:val="00954D0B"/>
    <w:rsid w:val="0096513D"/>
    <w:rsid w:val="0096518B"/>
    <w:rsid w:val="00990713"/>
    <w:rsid w:val="00997CD3"/>
    <w:rsid w:val="009A309D"/>
    <w:rsid w:val="009A33A3"/>
    <w:rsid w:val="009A61B8"/>
    <w:rsid w:val="009B3297"/>
    <w:rsid w:val="009D1DB7"/>
    <w:rsid w:val="009E1DA6"/>
    <w:rsid w:val="009F3810"/>
    <w:rsid w:val="00A028AC"/>
    <w:rsid w:val="00A45516"/>
    <w:rsid w:val="00A4712C"/>
    <w:rsid w:val="00A640BE"/>
    <w:rsid w:val="00A64245"/>
    <w:rsid w:val="00A65B67"/>
    <w:rsid w:val="00A9460A"/>
    <w:rsid w:val="00AA1386"/>
    <w:rsid w:val="00AA543A"/>
    <w:rsid w:val="00AB2BBD"/>
    <w:rsid w:val="00AB5A6E"/>
    <w:rsid w:val="00AD7181"/>
    <w:rsid w:val="00AD7F5F"/>
    <w:rsid w:val="00AE5F87"/>
    <w:rsid w:val="00AE6258"/>
    <w:rsid w:val="00AE7441"/>
    <w:rsid w:val="00AF5B58"/>
    <w:rsid w:val="00B0404D"/>
    <w:rsid w:val="00B147BA"/>
    <w:rsid w:val="00B33AED"/>
    <w:rsid w:val="00B42D97"/>
    <w:rsid w:val="00B533DE"/>
    <w:rsid w:val="00B774D5"/>
    <w:rsid w:val="00B84B31"/>
    <w:rsid w:val="00B85FE2"/>
    <w:rsid w:val="00B93D73"/>
    <w:rsid w:val="00B94448"/>
    <w:rsid w:val="00BD12AE"/>
    <w:rsid w:val="00BD439E"/>
    <w:rsid w:val="00BD6B3F"/>
    <w:rsid w:val="00BD6E6A"/>
    <w:rsid w:val="00BE276D"/>
    <w:rsid w:val="00BF0D79"/>
    <w:rsid w:val="00C0233E"/>
    <w:rsid w:val="00C364E6"/>
    <w:rsid w:val="00C47581"/>
    <w:rsid w:val="00C53B50"/>
    <w:rsid w:val="00C55CEF"/>
    <w:rsid w:val="00C6384E"/>
    <w:rsid w:val="00C67B2A"/>
    <w:rsid w:val="00C76DD8"/>
    <w:rsid w:val="00CA0796"/>
    <w:rsid w:val="00CB36AD"/>
    <w:rsid w:val="00CC2495"/>
    <w:rsid w:val="00CE3F77"/>
    <w:rsid w:val="00CF0D08"/>
    <w:rsid w:val="00CF672A"/>
    <w:rsid w:val="00CF7B16"/>
    <w:rsid w:val="00D137FA"/>
    <w:rsid w:val="00D15036"/>
    <w:rsid w:val="00D16D07"/>
    <w:rsid w:val="00D23889"/>
    <w:rsid w:val="00D42EF1"/>
    <w:rsid w:val="00D51AA1"/>
    <w:rsid w:val="00D543FE"/>
    <w:rsid w:val="00D55791"/>
    <w:rsid w:val="00D5617A"/>
    <w:rsid w:val="00D61C82"/>
    <w:rsid w:val="00D73E1D"/>
    <w:rsid w:val="00D8236F"/>
    <w:rsid w:val="00D8475D"/>
    <w:rsid w:val="00D96971"/>
    <w:rsid w:val="00DA6BEF"/>
    <w:rsid w:val="00DB2F19"/>
    <w:rsid w:val="00DB5286"/>
    <w:rsid w:val="00DB5CB5"/>
    <w:rsid w:val="00DC020A"/>
    <w:rsid w:val="00DC6E0E"/>
    <w:rsid w:val="00DC73CB"/>
    <w:rsid w:val="00DD31CF"/>
    <w:rsid w:val="00DE1087"/>
    <w:rsid w:val="00DE6595"/>
    <w:rsid w:val="00DF690A"/>
    <w:rsid w:val="00E501FA"/>
    <w:rsid w:val="00E50836"/>
    <w:rsid w:val="00E541B5"/>
    <w:rsid w:val="00E64B3B"/>
    <w:rsid w:val="00E76291"/>
    <w:rsid w:val="00E821FD"/>
    <w:rsid w:val="00E85CB9"/>
    <w:rsid w:val="00E91871"/>
    <w:rsid w:val="00E92142"/>
    <w:rsid w:val="00E96D68"/>
    <w:rsid w:val="00EA09C4"/>
    <w:rsid w:val="00EA2679"/>
    <w:rsid w:val="00EA56B9"/>
    <w:rsid w:val="00EB1791"/>
    <w:rsid w:val="00EE0887"/>
    <w:rsid w:val="00EE7EEC"/>
    <w:rsid w:val="00F0051E"/>
    <w:rsid w:val="00F21B2F"/>
    <w:rsid w:val="00F22EB7"/>
    <w:rsid w:val="00F365B9"/>
    <w:rsid w:val="00F53174"/>
    <w:rsid w:val="00F5737F"/>
    <w:rsid w:val="00F84CAD"/>
    <w:rsid w:val="00F90BDD"/>
    <w:rsid w:val="00F943FF"/>
    <w:rsid w:val="00F964D4"/>
    <w:rsid w:val="00F96E79"/>
    <w:rsid w:val="00FB3D17"/>
    <w:rsid w:val="00FB6997"/>
    <w:rsid w:val="00FD1428"/>
    <w:rsid w:val="00FE0204"/>
    <w:rsid w:val="00FE5135"/>
    <w:rsid w:val="00FE5756"/>
    <w:rsid w:val="00FF01B2"/>
    <w:rsid w:val="00FF7423"/>
    <w:rsid w:val="02E67B96"/>
    <w:rsid w:val="07BC23A5"/>
    <w:rsid w:val="2A5210F0"/>
    <w:rsid w:val="2F7C3737"/>
    <w:rsid w:val="2FB72E46"/>
    <w:rsid w:val="34BD2AD4"/>
    <w:rsid w:val="3A6C0300"/>
    <w:rsid w:val="51C52280"/>
    <w:rsid w:val="64F74B8C"/>
    <w:rsid w:val="66871B44"/>
    <w:rsid w:val="67390425"/>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0" w:semiHidden="0" w:name="footnote text"/>
    <w:lsdException w:qFormat="1" w:uiPriority="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rPr>
      <w:rFonts w:ascii="Calibri" w:hAnsi="Calibri" w:eastAsia="Calibri" w:cs="Calibri"/>
      <w:lang w:val="ru-RU" w:eastAsia="ru-RU" w:bidi="ar-SA"/>
    </w:rPr>
  </w:style>
  <w:style w:type="paragraph" w:styleId="2">
    <w:name w:val="heading 1"/>
    <w:basedOn w:val="1"/>
    <w:next w:val="1"/>
    <w:qFormat/>
    <w:uiPriority w:val="0"/>
    <w:pPr>
      <w:keepNext/>
      <w:keepLines/>
      <w:spacing w:before="480" w:after="120"/>
      <w:outlineLvl w:val="0"/>
    </w:pPr>
    <w:rPr>
      <w:b/>
      <w:sz w:val="48"/>
      <w:szCs w:val="48"/>
    </w:rPr>
  </w:style>
  <w:style w:type="paragraph" w:styleId="3">
    <w:name w:val="heading 2"/>
    <w:basedOn w:val="1"/>
    <w:next w:val="1"/>
    <w:qFormat/>
    <w:uiPriority w:val="0"/>
    <w:pPr>
      <w:keepNext/>
      <w:keepLines/>
      <w:spacing w:before="360" w:after="80"/>
      <w:outlineLvl w:val="1"/>
    </w:pPr>
    <w:rPr>
      <w:b/>
      <w:sz w:val="36"/>
      <w:szCs w:val="36"/>
    </w:rPr>
  </w:style>
  <w:style w:type="paragraph" w:styleId="4">
    <w:name w:val="heading 3"/>
    <w:basedOn w:val="1"/>
    <w:next w:val="1"/>
    <w:qFormat/>
    <w:uiPriority w:val="0"/>
    <w:pPr>
      <w:keepNext/>
      <w:keepLines/>
      <w:spacing w:before="280" w:after="80"/>
      <w:outlineLvl w:val="2"/>
    </w:pPr>
    <w:rPr>
      <w:b/>
      <w:sz w:val="28"/>
      <w:szCs w:val="28"/>
    </w:rPr>
  </w:style>
  <w:style w:type="paragraph" w:styleId="5">
    <w:name w:val="heading 4"/>
    <w:basedOn w:val="1"/>
    <w:next w:val="1"/>
    <w:qFormat/>
    <w:uiPriority w:val="0"/>
    <w:pPr>
      <w:keepNext/>
      <w:keepLines/>
      <w:spacing w:before="240" w:after="40"/>
      <w:outlineLvl w:val="3"/>
    </w:pPr>
    <w:rPr>
      <w:b/>
      <w:sz w:val="24"/>
      <w:szCs w:val="24"/>
    </w:rPr>
  </w:style>
  <w:style w:type="paragraph" w:styleId="6">
    <w:name w:val="heading 5"/>
    <w:basedOn w:val="1"/>
    <w:next w:val="1"/>
    <w:qFormat/>
    <w:uiPriority w:val="0"/>
    <w:pPr>
      <w:keepNext/>
      <w:keepLines/>
      <w:spacing w:before="220" w:after="40"/>
      <w:outlineLvl w:val="4"/>
    </w:pPr>
    <w:rPr>
      <w:b/>
      <w:sz w:val="22"/>
      <w:szCs w:val="22"/>
    </w:rPr>
  </w:style>
  <w:style w:type="paragraph" w:styleId="7">
    <w:name w:val="heading 6"/>
    <w:basedOn w:val="1"/>
    <w:next w:val="1"/>
    <w:qFormat/>
    <w:uiPriority w:val="0"/>
    <w:pPr>
      <w:keepNext/>
      <w:keepLines/>
      <w:spacing w:before="200" w:after="40"/>
      <w:outlineLvl w:val="5"/>
    </w:pPr>
    <w:rPr>
      <w:b/>
    </w:rPr>
  </w:style>
  <w:style w:type="character" w:default="1" w:styleId="8">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character" w:styleId="10">
    <w:name w:val="footnote reference"/>
    <w:unhideWhenUsed/>
    <w:qFormat/>
    <w:uiPriority w:val="99"/>
    <w:rPr>
      <w:vertAlign w:val="superscript"/>
    </w:rPr>
  </w:style>
  <w:style w:type="character" w:styleId="11">
    <w:name w:val="Hyperlink"/>
    <w:basedOn w:val="8"/>
    <w:unhideWhenUsed/>
    <w:qFormat/>
    <w:uiPriority w:val="0"/>
    <w:rPr>
      <w:color w:val="0000FF"/>
      <w:u w:val="single"/>
    </w:rPr>
  </w:style>
  <w:style w:type="paragraph" w:styleId="12">
    <w:name w:val="Balloon Text"/>
    <w:basedOn w:val="1"/>
    <w:link w:val="23"/>
    <w:semiHidden/>
    <w:unhideWhenUsed/>
    <w:qFormat/>
    <w:uiPriority w:val="99"/>
    <w:rPr>
      <w:rFonts w:ascii="Segoe UI" w:hAnsi="Segoe UI" w:cs="Segoe UI"/>
      <w:sz w:val="18"/>
      <w:szCs w:val="18"/>
    </w:rPr>
  </w:style>
  <w:style w:type="paragraph" w:styleId="13">
    <w:name w:val="annotation text"/>
    <w:basedOn w:val="1"/>
    <w:link w:val="32"/>
    <w:semiHidden/>
    <w:unhideWhenUsed/>
    <w:qFormat/>
    <w:uiPriority w:val="0"/>
    <w:rPr>
      <w:rFonts w:ascii="Tms Rmn" w:hAnsi="Tms Rmn" w:eastAsia="Times New Roman" w:cs="Tms Rmn"/>
    </w:rPr>
  </w:style>
  <w:style w:type="paragraph" w:styleId="14">
    <w:name w:val="footnote text"/>
    <w:basedOn w:val="1"/>
    <w:link w:val="24"/>
    <w:unhideWhenUsed/>
    <w:qFormat/>
    <w:uiPriority w:val="0"/>
    <w:pPr>
      <w:widowControl w:val="0"/>
      <w:spacing w:after="40"/>
      <w:ind w:firstLine="720"/>
      <w:jc w:val="both"/>
    </w:pPr>
    <w:rPr>
      <w:rFonts w:ascii="Times New Roman" w:hAnsi="Times New Roman" w:eastAsia="Times New Roman" w:cs="Times New Roman"/>
      <w:sz w:val="18"/>
    </w:rPr>
  </w:style>
  <w:style w:type="paragraph" w:styleId="15">
    <w:name w:val="header"/>
    <w:basedOn w:val="1"/>
    <w:link w:val="25"/>
    <w:unhideWhenUsed/>
    <w:qFormat/>
    <w:uiPriority w:val="99"/>
    <w:pPr>
      <w:tabs>
        <w:tab w:val="center" w:pos="4677"/>
        <w:tab w:val="right" w:pos="9355"/>
      </w:tabs>
    </w:pPr>
  </w:style>
  <w:style w:type="paragraph" w:styleId="16">
    <w:name w:val="footer"/>
    <w:basedOn w:val="1"/>
    <w:link w:val="26"/>
    <w:unhideWhenUsed/>
    <w:qFormat/>
    <w:uiPriority w:val="99"/>
    <w:pPr>
      <w:tabs>
        <w:tab w:val="center" w:pos="4677"/>
        <w:tab w:val="right" w:pos="9355"/>
      </w:tabs>
    </w:pPr>
  </w:style>
  <w:style w:type="paragraph" w:styleId="17">
    <w:name w:val="Subtitle"/>
    <w:basedOn w:val="1"/>
    <w:next w:val="1"/>
    <w:qFormat/>
    <w:uiPriority w:val="0"/>
    <w:pPr>
      <w:keepNext/>
      <w:keepLines/>
      <w:spacing w:before="360" w:after="80"/>
    </w:pPr>
    <w:rPr>
      <w:rFonts w:ascii="Georgia" w:hAnsi="Georgia" w:eastAsia="Georgia" w:cs="Georgia"/>
      <w:i/>
      <w:color w:val="666666"/>
      <w:sz w:val="48"/>
      <w:szCs w:val="48"/>
    </w:rPr>
  </w:style>
  <w:style w:type="table" w:styleId="18">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
    <w:name w:val="Table Normal"/>
    <w:qFormat/>
    <w:uiPriority w:val="0"/>
    <w:tblPr>
      <w:tblCellMar>
        <w:top w:w="0" w:type="dxa"/>
        <w:left w:w="0" w:type="dxa"/>
        <w:bottom w:w="0" w:type="dxa"/>
        <w:right w:w="0" w:type="dxa"/>
      </w:tblCellMar>
    </w:tblPr>
  </w:style>
  <w:style w:type="paragraph" w:customStyle="1" w:styleId="20">
    <w:name w:val="Заголовок1"/>
    <w:basedOn w:val="1"/>
    <w:next w:val="1"/>
    <w:qFormat/>
    <w:uiPriority w:val="0"/>
    <w:pPr>
      <w:keepNext/>
      <w:keepLines/>
      <w:spacing w:before="480" w:after="120"/>
    </w:pPr>
    <w:rPr>
      <w:b/>
      <w:sz w:val="72"/>
      <w:szCs w:val="72"/>
    </w:rPr>
  </w:style>
  <w:style w:type="table" w:customStyle="1" w:styleId="21">
    <w:name w:val="_Style 12"/>
    <w:basedOn w:val="19"/>
    <w:qFormat/>
    <w:uiPriority w:val="0"/>
    <w:tblPr>
      <w:tblCellMar>
        <w:top w:w="0" w:type="dxa"/>
        <w:left w:w="108" w:type="dxa"/>
        <w:bottom w:w="0" w:type="dxa"/>
        <w:right w:w="108" w:type="dxa"/>
      </w:tblCellMar>
    </w:tblPr>
  </w:style>
  <w:style w:type="table" w:customStyle="1" w:styleId="22">
    <w:name w:val="_Style 13"/>
    <w:basedOn w:val="19"/>
    <w:qFormat/>
    <w:uiPriority w:val="0"/>
    <w:tblPr>
      <w:tblCellMar>
        <w:top w:w="0" w:type="dxa"/>
        <w:left w:w="108" w:type="dxa"/>
        <w:bottom w:w="0" w:type="dxa"/>
        <w:right w:w="108" w:type="dxa"/>
      </w:tblCellMar>
    </w:tblPr>
  </w:style>
  <w:style w:type="character" w:customStyle="1" w:styleId="23">
    <w:name w:val="Текст выноски Знак"/>
    <w:link w:val="12"/>
    <w:semiHidden/>
    <w:qFormat/>
    <w:uiPriority w:val="99"/>
    <w:rPr>
      <w:rFonts w:ascii="Segoe UI" w:hAnsi="Segoe UI" w:cs="Segoe UI"/>
      <w:sz w:val="18"/>
      <w:szCs w:val="18"/>
    </w:rPr>
  </w:style>
  <w:style w:type="character" w:customStyle="1" w:styleId="24">
    <w:name w:val="Текст сноски Знак"/>
    <w:basedOn w:val="8"/>
    <w:link w:val="14"/>
    <w:qFormat/>
    <w:uiPriority w:val="0"/>
    <w:rPr>
      <w:rFonts w:ascii="Times New Roman" w:hAnsi="Times New Roman" w:eastAsia="Times New Roman" w:cs="Times New Roman"/>
      <w:sz w:val="18"/>
    </w:rPr>
  </w:style>
  <w:style w:type="character" w:customStyle="1" w:styleId="25">
    <w:name w:val="Верхний колонтитул Знак"/>
    <w:basedOn w:val="8"/>
    <w:link w:val="15"/>
    <w:qFormat/>
    <w:uiPriority w:val="99"/>
  </w:style>
  <w:style w:type="character" w:customStyle="1" w:styleId="26">
    <w:name w:val="Нижний колонтитул Знак"/>
    <w:basedOn w:val="8"/>
    <w:link w:val="16"/>
    <w:qFormat/>
    <w:uiPriority w:val="99"/>
  </w:style>
  <w:style w:type="paragraph" w:customStyle="1" w:styleId="27">
    <w:name w:val="Без интервала1"/>
    <w:qFormat/>
    <w:uiPriority w:val="0"/>
    <w:rPr>
      <w:rFonts w:ascii="Calibri" w:hAnsi="Calibri" w:eastAsia="Times New Roman" w:cs="Times New Roman"/>
      <w:sz w:val="22"/>
      <w:szCs w:val="22"/>
      <w:lang w:val="ru-RU" w:eastAsia="en-US" w:bidi="ar-SA"/>
    </w:rPr>
  </w:style>
  <w:style w:type="paragraph" w:customStyle="1" w:styleId="28">
    <w:name w:val="ConsPlusNormal"/>
    <w:link w:val="29"/>
    <w:qFormat/>
    <w:uiPriority w:val="0"/>
    <w:pPr>
      <w:widowControl w:val="0"/>
      <w:ind w:firstLine="720"/>
    </w:pPr>
    <w:rPr>
      <w:rFonts w:ascii="Arial" w:hAnsi="Arial" w:eastAsia="Times New Roman" w:cs="Times New Roman"/>
      <w:lang w:val="ru-RU" w:eastAsia="ru-RU" w:bidi="ar-SA"/>
    </w:rPr>
  </w:style>
  <w:style w:type="character" w:customStyle="1" w:styleId="29">
    <w:name w:val="ConsPlusNormal Знак"/>
    <w:link w:val="28"/>
    <w:qFormat/>
    <w:uiPriority w:val="0"/>
    <w:rPr>
      <w:rFonts w:ascii="Arial" w:hAnsi="Arial" w:eastAsia="Times New Roman" w:cs="Times New Roman"/>
    </w:rPr>
  </w:style>
  <w:style w:type="paragraph" w:customStyle="1" w:styleId="30">
    <w:name w:val="АД_Текст отступ 3;25"/>
    <w:basedOn w:val="1"/>
    <w:link w:val="31"/>
    <w:qFormat/>
    <w:uiPriority w:val="0"/>
    <w:pPr>
      <w:widowControl w:val="0"/>
      <w:spacing w:line="300" w:lineRule="auto"/>
      <w:ind w:left="1418" w:firstLine="720"/>
      <w:jc w:val="both"/>
    </w:pPr>
    <w:rPr>
      <w:rFonts w:ascii="Times New Roman" w:hAnsi="Times New Roman" w:eastAsia="Times New Roman" w:cs="Times New Roman"/>
      <w:sz w:val="24"/>
      <w:lang w:val="en-US"/>
    </w:rPr>
  </w:style>
  <w:style w:type="character" w:customStyle="1" w:styleId="31">
    <w:name w:val="АД_Текст отступ 3 Знак;25 Знак"/>
    <w:link w:val="30"/>
    <w:qFormat/>
    <w:uiPriority w:val="0"/>
    <w:rPr>
      <w:rFonts w:ascii="Times New Roman" w:hAnsi="Times New Roman" w:eastAsia="Times New Roman" w:cs="Times New Roman"/>
      <w:sz w:val="24"/>
      <w:lang w:val="en-US"/>
    </w:rPr>
  </w:style>
  <w:style w:type="character" w:customStyle="1" w:styleId="32">
    <w:name w:val="Текст примечания Знак"/>
    <w:basedOn w:val="8"/>
    <w:link w:val="13"/>
    <w:semiHidden/>
    <w:qFormat/>
    <w:uiPriority w:val="0"/>
    <w:rPr>
      <w:rFonts w:ascii="Tms Rmn" w:hAnsi="Tms Rmn" w:eastAsia="Times New Roman" w:cs="Tms Rmn"/>
    </w:rPr>
  </w:style>
  <w:style w:type="paragraph" w:customStyle="1" w:styleId="33">
    <w:name w:val="s_1"/>
    <w:basedOn w:val="1"/>
    <w:qFormat/>
    <w:uiPriority w:val="0"/>
    <w:pPr>
      <w:spacing w:before="100" w:beforeAutospacing="1" w:after="100" w:afterAutospacing="1"/>
    </w:pPr>
    <w:rPr>
      <w:rFonts w:ascii="Tms Rmn" w:hAnsi="Tms Rmn" w:eastAsia="Times New Roman" w:cs="Tms Rmn"/>
      <w:sz w:val="24"/>
      <w:szCs w:val="24"/>
    </w:rPr>
  </w:style>
  <w:style w:type="paragraph" w:styleId="34">
    <w:name w:val="No Spacing"/>
    <w:link w:val="35"/>
    <w:qFormat/>
    <w:uiPriority w:val="1"/>
    <w:pPr>
      <w:jc w:val="both"/>
    </w:pPr>
    <w:rPr>
      <w:rFonts w:ascii="Times New Roman" w:hAnsi="Times New Roman" w:eastAsia="Times New Roman" w:cs="Times New Roman"/>
      <w:sz w:val="24"/>
      <w:szCs w:val="24"/>
      <w:lang w:val="ru-RU" w:eastAsia="ru-RU" w:bidi="ar-SA"/>
    </w:rPr>
  </w:style>
  <w:style w:type="character" w:customStyle="1" w:styleId="35">
    <w:name w:val="Без интервала Знак"/>
    <w:link w:val="34"/>
    <w:qFormat/>
    <w:locked/>
    <w:uiPriority w:val="1"/>
    <w:rPr>
      <w:rFonts w:eastAsia="Times New Roman"/>
      <w:sz w:val="24"/>
      <w:szCs w:val="24"/>
    </w:rPr>
  </w:style>
  <w:style w:type="paragraph" w:styleId="36">
    <w:name w:val="List Paragraph"/>
    <w:basedOn w:val="1"/>
    <w:qFormat/>
    <w:uiPriority w:val="34"/>
    <w:pPr>
      <w:ind w:left="720"/>
      <w:contextualSpacing/>
    </w:pPr>
  </w:style>
  <w:style w:type="paragraph" w:customStyle="1" w:styleId="37">
    <w:name w:val="headingcenter1"/>
    <w:basedOn w:val="1"/>
    <w:qFormat/>
    <w:uiPriority w:val="0"/>
    <w:pPr>
      <w:jc w:val="center"/>
    </w:pPr>
    <w:rPr>
      <w:rFonts w:ascii="Times New Roman" w:hAnsi="Times New Roman" w:eastAsia="Times New Roman" w:cs="Times New Roman"/>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FCBFE6-11CD-4F96-812B-8411904DF953}">
  <ds:schemaRefs/>
</ds:datastoreItem>
</file>

<file path=docProps/app.xml><?xml version="1.0" encoding="utf-8"?>
<Properties xmlns="http://schemas.openxmlformats.org/officeDocument/2006/extended-properties" xmlns:vt="http://schemas.openxmlformats.org/officeDocument/2006/docPropsVTypes">
  <Template>Normal</Template>
  <Pages>35</Pages>
  <Words>17638</Words>
  <Characters>100540</Characters>
  <Lines>837</Lines>
  <Paragraphs>235</Paragraphs>
  <TotalTime>2</TotalTime>
  <ScaleCrop>false</ScaleCrop>
  <LinksUpToDate>false</LinksUpToDate>
  <CharactersWithSpaces>117943</CharactersWithSpaces>
  <Application>WPS Office_12.2.0.20795_F1E327BC-269C-435d-A152-05C5408002CA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2025-04-28T12:57:00Z</dcterms:created>
  <dc:creator>User</dc:creator>
  <cp:lastModifiedBy>User</cp:lastModifiedBy>
  <cp:lastPrinted>2022-03-05T06:11:00Z</cp:lastPrinted>
  <dcterms:modified xsi:type="dcterms:W3CDTF">2025-05-05T13:20:58Z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1049-12.2.0.20795</vt:lpwstr>
  </property>
  <property fmtid="{D5CDD505-2E9C-101B-9397-08002B2CF9AE}" pid="3" name="ICV">
    <vt:lpwstr>2190895CF8394B82AC119C06C472587D_12</vt:lpwstr>
  </property>
</Properties>
</file>